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13" w:rsidRPr="00EF422D" w:rsidRDefault="003F0513" w:rsidP="00BE2B6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E062A" w:rsidRPr="00EF422D" w:rsidRDefault="006E062A" w:rsidP="00BE2B67">
      <w:pPr>
        <w:jc w:val="center"/>
        <w:rPr>
          <w:rFonts w:ascii="Times New Roman" w:hAnsi="Times New Roman" w:cs="Times New Roman"/>
        </w:rPr>
      </w:pPr>
    </w:p>
    <w:p w:rsidR="00DC4671" w:rsidRPr="00EF422D" w:rsidRDefault="00BE2B67" w:rsidP="00BE2B67">
      <w:pPr>
        <w:jc w:val="center"/>
        <w:rPr>
          <w:rFonts w:ascii="Times New Roman" w:hAnsi="Times New Roman" w:cs="Times New Roman"/>
        </w:rPr>
      </w:pPr>
      <w:r w:rsidRPr="00EF422D">
        <w:rPr>
          <w:rFonts w:ascii="Times New Roman" w:hAnsi="Times New Roman" w:cs="Times New Roman"/>
          <w:b/>
          <w:sz w:val="40"/>
          <w:szCs w:val="40"/>
          <w:lang w:val="en-US"/>
        </w:rPr>
        <w:drawing>
          <wp:inline distT="0" distB="0" distL="0" distR="0">
            <wp:extent cx="1328057" cy="1522323"/>
            <wp:effectExtent l="0" t="0" r="5715" b="1905"/>
            <wp:docPr id="1" name="Picture 1" descr="C:\Users\Visar Nallbani\Desktop\Globus-2013 - Copy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r Nallbani\Desktop\Globus-2013 - Copy (Small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86" cy="155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67" w:rsidRPr="00EF422D" w:rsidRDefault="00BE2B67" w:rsidP="00BE2B67">
      <w:pPr>
        <w:jc w:val="center"/>
        <w:rPr>
          <w:rFonts w:ascii="Times New Roman" w:hAnsi="Times New Roman" w:cs="Times New Roman"/>
        </w:rPr>
      </w:pPr>
    </w:p>
    <w:p w:rsidR="00BE2B67" w:rsidRPr="00EF422D" w:rsidRDefault="00BE2B67" w:rsidP="00BE2B67">
      <w:pPr>
        <w:jc w:val="center"/>
        <w:rPr>
          <w:rFonts w:ascii="Times New Roman" w:hAnsi="Times New Roman" w:cs="Times New Roman"/>
        </w:rPr>
      </w:pPr>
    </w:p>
    <w:p w:rsidR="008C5F81" w:rsidRPr="00EF422D" w:rsidRDefault="008C5F81" w:rsidP="00BE2B67">
      <w:pPr>
        <w:jc w:val="center"/>
        <w:rPr>
          <w:rFonts w:ascii="Times New Roman" w:hAnsi="Times New Roman" w:cs="Times New Roman"/>
        </w:rPr>
      </w:pPr>
    </w:p>
    <w:p w:rsidR="008C5F81" w:rsidRPr="00EF422D" w:rsidRDefault="008C5F81" w:rsidP="00BE2B67">
      <w:pPr>
        <w:jc w:val="center"/>
        <w:rPr>
          <w:rFonts w:ascii="Times New Roman" w:hAnsi="Times New Roman" w:cs="Times New Roman"/>
        </w:rPr>
      </w:pPr>
    </w:p>
    <w:p w:rsidR="008C5F81" w:rsidRPr="00EF422D" w:rsidRDefault="008C5F81" w:rsidP="00BE2B67">
      <w:pPr>
        <w:jc w:val="center"/>
        <w:rPr>
          <w:rFonts w:ascii="Times New Roman" w:hAnsi="Times New Roman" w:cs="Times New Roman"/>
        </w:rPr>
      </w:pPr>
    </w:p>
    <w:p w:rsidR="008C5F81" w:rsidRPr="00EF422D" w:rsidRDefault="008C5F81" w:rsidP="00BE2B67">
      <w:pPr>
        <w:jc w:val="center"/>
        <w:rPr>
          <w:rFonts w:ascii="Times New Roman" w:hAnsi="Times New Roman" w:cs="Times New Roman"/>
        </w:rPr>
      </w:pPr>
    </w:p>
    <w:p w:rsidR="00BE2B67" w:rsidRPr="00EF422D" w:rsidRDefault="00BE2B67" w:rsidP="00BE2B6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422D">
        <w:rPr>
          <w:rFonts w:ascii="Times New Roman" w:hAnsi="Times New Roman" w:cs="Times New Roman"/>
          <w:b/>
          <w:color w:val="0070C0"/>
          <w:sz w:val="32"/>
          <w:szCs w:val="32"/>
        </w:rPr>
        <w:t>KOLEGJI I MENAXHMENTIT INTERNACIONAL – GLOBUS</w:t>
      </w:r>
    </w:p>
    <w:p w:rsidR="00BE2B67" w:rsidRPr="00EF422D" w:rsidRDefault="00BE2B67" w:rsidP="00BE2B6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E2B67" w:rsidRPr="00EF422D" w:rsidRDefault="00285DF1" w:rsidP="00BE2B6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422D">
        <w:rPr>
          <w:rFonts w:ascii="Times New Roman" w:hAnsi="Times New Roman" w:cs="Times New Roman"/>
          <w:b/>
          <w:color w:val="0070C0"/>
          <w:sz w:val="32"/>
          <w:szCs w:val="32"/>
        </w:rPr>
        <w:t>RREGULLORE PËR MOBILITET TË STUDENTËVE</w:t>
      </w:r>
    </w:p>
    <w:p w:rsidR="00BE2B67" w:rsidRPr="00EF422D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EF422D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EF422D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EF422D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EF422D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EF422D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EF422D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  <w:r w:rsidRPr="00EF422D">
        <w:rPr>
          <w:rFonts w:ascii="Times New Roman" w:hAnsi="Times New Roman" w:cs="Times New Roman"/>
          <w:sz w:val="32"/>
          <w:szCs w:val="32"/>
        </w:rPr>
        <w:t>Prishtinë, 2020</w:t>
      </w: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sq-AL"/>
        </w:rPr>
        <w:id w:val="-1908998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374BF" w:rsidRPr="004374BF" w:rsidRDefault="004374BF">
          <w:pPr>
            <w:pStyle w:val="TOCHeading"/>
            <w:rPr>
              <w:rFonts w:ascii="Times New Roman" w:hAnsi="Times New Roman" w:cs="Times New Roman"/>
              <w:b/>
            </w:rPr>
          </w:pPr>
          <w:proofErr w:type="spellStart"/>
          <w:r w:rsidRPr="004374BF">
            <w:rPr>
              <w:rFonts w:ascii="Times New Roman" w:hAnsi="Times New Roman" w:cs="Times New Roman"/>
              <w:b/>
            </w:rPr>
            <w:t>Përmbajtja</w:t>
          </w:r>
          <w:proofErr w:type="spellEnd"/>
        </w:p>
        <w:p w:rsidR="004374BF" w:rsidRPr="004374BF" w:rsidRDefault="004374BF" w:rsidP="004374BF">
          <w:pPr>
            <w:rPr>
              <w:rFonts w:ascii="Times New Roman" w:hAnsi="Times New Roman" w:cs="Times New Roman"/>
              <w:lang w:val="en-US"/>
            </w:rPr>
          </w:pPr>
        </w:p>
        <w:p w:rsidR="004374BF" w:rsidRPr="004374BF" w:rsidRDefault="004374BF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hAnsi="Times New Roman" w:cs="Times New Roman"/>
            </w:rPr>
          </w:pPr>
          <w:r w:rsidRPr="004374BF">
            <w:rPr>
              <w:rFonts w:ascii="Times New Roman" w:hAnsi="Times New Roman" w:cs="Times New Roman"/>
            </w:rPr>
            <w:fldChar w:fldCharType="begin"/>
          </w:r>
          <w:r w:rsidRPr="004374BF">
            <w:rPr>
              <w:rFonts w:ascii="Times New Roman" w:hAnsi="Times New Roman" w:cs="Times New Roman"/>
            </w:rPr>
            <w:instrText xml:space="preserve"> TOC \o "1-3" \h \z \u </w:instrText>
          </w:r>
          <w:r w:rsidRPr="004374BF">
            <w:rPr>
              <w:rFonts w:ascii="Times New Roman" w:hAnsi="Times New Roman" w:cs="Times New Roman"/>
            </w:rPr>
            <w:fldChar w:fldCharType="separate"/>
          </w:r>
          <w:hyperlink w:anchor="_Toc59121440" w:history="1">
            <w:r w:rsidRPr="004374BF">
              <w:rPr>
                <w:rStyle w:val="Hyperlink"/>
                <w:rFonts w:ascii="Times New Roman" w:hAnsi="Times New Roman" w:cs="Times New Roman"/>
              </w:rPr>
              <w:t>1.</w:t>
            </w:r>
            <w:r w:rsidRPr="004374BF">
              <w:rPr>
                <w:rFonts w:ascii="Times New Roman" w:hAnsi="Times New Roman" w:cs="Times New Roman"/>
              </w:rPr>
              <w:tab/>
            </w:r>
            <w:r w:rsidRPr="004374BF">
              <w:rPr>
                <w:rStyle w:val="Hyperlink"/>
                <w:rFonts w:ascii="Times New Roman" w:hAnsi="Times New Roman" w:cs="Times New Roman"/>
                <w:b/>
              </w:rPr>
              <w:t>QËLLIMI</w:t>
            </w:r>
            <w:r w:rsidRPr="004374BF">
              <w:rPr>
                <w:rFonts w:ascii="Times New Roman" w:hAnsi="Times New Roman" w:cs="Times New Roman"/>
                <w:webHidden/>
              </w:rPr>
              <w:tab/>
            </w:r>
            <w:r w:rsidRPr="004374BF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4374BF">
              <w:rPr>
                <w:rFonts w:ascii="Times New Roman" w:hAnsi="Times New Roman" w:cs="Times New Roman"/>
                <w:webHidden/>
              </w:rPr>
              <w:instrText xml:space="preserve"> PAGEREF _Toc59121440 \h </w:instrText>
            </w:r>
            <w:r w:rsidRPr="004374BF">
              <w:rPr>
                <w:rFonts w:ascii="Times New Roman" w:hAnsi="Times New Roman" w:cs="Times New Roman"/>
                <w:webHidden/>
              </w:rPr>
            </w:r>
            <w:r w:rsidRPr="004374BF">
              <w:rPr>
                <w:rFonts w:ascii="Times New Roman" w:hAnsi="Times New Roman" w:cs="Times New Roman"/>
                <w:webHidden/>
              </w:rPr>
              <w:fldChar w:fldCharType="separate"/>
            </w:r>
            <w:r w:rsidRPr="004374BF">
              <w:rPr>
                <w:rFonts w:ascii="Times New Roman" w:hAnsi="Times New Roman" w:cs="Times New Roman"/>
                <w:webHidden/>
              </w:rPr>
              <w:t>4</w:t>
            </w:r>
            <w:r w:rsidRPr="004374B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4374BF" w:rsidRPr="004374BF" w:rsidRDefault="00706C47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</w:rPr>
          </w:pPr>
          <w:hyperlink w:anchor="_Toc59121441" w:history="1">
            <w:r w:rsidR="004374BF" w:rsidRPr="004374BF">
              <w:rPr>
                <w:rStyle w:val="Hyperlink"/>
                <w:rFonts w:ascii="Times New Roman" w:hAnsi="Times New Roman" w:cs="Times New Roman"/>
              </w:rPr>
              <w:t>1.1 Realizimi i Mobilitetit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tab/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begin"/>
            </w:r>
            <w:r w:rsidR="004374BF" w:rsidRPr="004374BF">
              <w:rPr>
                <w:rFonts w:ascii="Times New Roman" w:hAnsi="Times New Roman" w:cs="Times New Roman"/>
                <w:webHidden/>
              </w:rPr>
              <w:instrText xml:space="preserve"> PAGEREF _Toc59121441 \h </w:instrText>
            </w:r>
            <w:r w:rsidR="004374BF" w:rsidRPr="004374BF">
              <w:rPr>
                <w:rFonts w:ascii="Times New Roman" w:hAnsi="Times New Roman" w:cs="Times New Roman"/>
                <w:webHidden/>
              </w:rPr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4374BF" w:rsidRPr="004374BF">
              <w:rPr>
                <w:rFonts w:ascii="Times New Roman" w:hAnsi="Times New Roman" w:cs="Times New Roman"/>
                <w:webHidden/>
              </w:rPr>
              <w:t>4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4374BF" w:rsidRPr="004374BF" w:rsidRDefault="00706C47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</w:rPr>
          </w:pPr>
          <w:hyperlink w:anchor="_Toc59121442" w:history="1">
            <w:r w:rsidR="004374BF" w:rsidRPr="004374BF">
              <w:rPr>
                <w:rStyle w:val="Hyperlink"/>
                <w:rFonts w:ascii="Times New Roman" w:hAnsi="Times New Roman" w:cs="Times New Roman"/>
              </w:rPr>
              <w:t>1.2 Përkufizimet dhe Përmbajtja e Termave Themelorë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tab/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begin"/>
            </w:r>
            <w:r w:rsidR="004374BF" w:rsidRPr="004374BF">
              <w:rPr>
                <w:rFonts w:ascii="Times New Roman" w:hAnsi="Times New Roman" w:cs="Times New Roman"/>
                <w:webHidden/>
              </w:rPr>
              <w:instrText xml:space="preserve"> PAGEREF _Toc59121442 \h </w:instrText>
            </w:r>
            <w:r w:rsidR="004374BF" w:rsidRPr="004374BF">
              <w:rPr>
                <w:rFonts w:ascii="Times New Roman" w:hAnsi="Times New Roman" w:cs="Times New Roman"/>
                <w:webHidden/>
              </w:rPr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4374BF" w:rsidRPr="004374BF">
              <w:rPr>
                <w:rFonts w:ascii="Times New Roman" w:hAnsi="Times New Roman" w:cs="Times New Roman"/>
                <w:webHidden/>
              </w:rPr>
              <w:t>4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4374BF" w:rsidRPr="004374BF" w:rsidRDefault="00706C47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</w:rPr>
          </w:pPr>
          <w:hyperlink w:anchor="_Toc59121443" w:history="1">
            <w:r w:rsidR="004374BF" w:rsidRPr="004374BF">
              <w:rPr>
                <w:rStyle w:val="Hyperlink"/>
                <w:rFonts w:ascii="Times New Roman" w:hAnsi="Times New Roman" w:cs="Times New Roman"/>
                <w:b/>
              </w:rPr>
              <w:t>DETYRIMET E KOLEGJIT – NJËSISË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tab/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begin"/>
            </w:r>
            <w:r w:rsidR="004374BF" w:rsidRPr="004374BF">
              <w:rPr>
                <w:rFonts w:ascii="Times New Roman" w:hAnsi="Times New Roman" w:cs="Times New Roman"/>
                <w:webHidden/>
              </w:rPr>
              <w:instrText xml:space="preserve"> PAGEREF _Toc59121443 \h </w:instrText>
            </w:r>
            <w:r w:rsidR="004374BF" w:rsidRPr="004374BF">
              <w:rPr>
                <w:rFonts w:ascii="Times New Roman" w:hAnsi="Times New Roman" w:cs="Times New Roman"/>
                <w:webHidden/>
              </w:rPr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4374BF" w:rsidRPr="004374BF">
              <w:rPr>
                <w:rFonts w:ascii="Times New Roman" w:hAnsi="Times New Roman" w:cs="Times New Roman"/>
                <w:webHidden/>
              </w:rPr>
              <w:t>5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4374BF" w:rsidRPr="004374BF" w:rsidRDefault="00706C47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hAnsi="Times New Roman" w:cs="Times New Roman"/>
            </w:rPr>
          </w:pPr>
          <w:hyperlink w:anchor="_Toc59121444" w:history="1">
            <w:r w:rsidR="004374BF" w:rsidRPr="004374BF">
              <w:rPr>
                <w:rStyle w:val="Hyperlink"/>
                <w:rFonts w:ascii="Times New Roman" w:hAnsi="Times New Roman" w:cs="Times New Roman"/>
              </w:rPr>
              <w:t>2.</w:t>
            </w:r>
            <w:r w:rsidR="004374BF" w:rsidRPr="004374BF">
              <w:rPr>
                <w:rFonts w:ascii="Times New Roman" w:hAnsi="Times New Roman" w:cs="Times New Roman"/>
              </w:rPr>
              <w:tab/>
            </w:r>
            <w:r w:rsidR="004374BF" w:rsidRPr="004374BF">
              <w:rPr>
                <w:rStyle w:val="Hyperlink"/>
                <w:rFonts w:ascii="Times New Roman" w:hAnsi="Times New Roman" w:cs="Times New Roman"/>
              </w:rPr>
              <w:t>Detyrimet e Kolegjit apo Njësisë Akademike ndaj Studentit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tab/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begin"/>
            </w:r>
            <w:r w:rsidR="004374BF" w:rsidRPr="004374BF">
              <w:rPr>
                <w:rFonts w:ascii="Times New Roman" w:hAnsi="Times New Roman" w:cs="Times New Roman"/>
                <w:webHidden/>
              </w:rPr>
              <w:instrText xml:space="preserve"> PAGEREF _Toc59121444 \h </w:instrText>
            </w:r>
            <w:r w:rsidR="004374BF" w:rsidRPr="004374BF">
              <w:rPr>
                <w:rFonts w:ascii="Times New Roman" w:hAnsi="Times New Roman" w:cs="Times New Roman"/>
                <w:webHidden/>
              </w:rPr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4374BF" w:rsidRPr="004374BF">
              <w:rPr>
                <w:rFonts w:ascii="Times New Roman" w:hAnsi="Times New Roman" w:cs="Times New Roman"/>
                <w:webHidden/>
              </w:rPr>
              <w:t>5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4374BF" w:rsidRPr="004374BF" w:rsidRDefault="00706C47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</w:rPr>
          </w:pPr>
          <w:hyperlink w:anchor="_Toc59121445" w:history="1">
            <w:r w:rsidR="004374BF" w:rsidRPr="004374BF">
              <w:rPr>
                <w:rStyle w:val="Hyperlink"/>
                <w:rFonts w:ascii="Times New Roman" w:hAnsi="Times New Roman" w:cs="Times New Roman"/>
                <w:w w:val="105"/>
              </w:rPr>
              <w:t>2.1 Procedurat  para Fillimit të Mobilitetit Akademik të Studentit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tab/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begin"/>
            </w:r>
            <w:r w:rsidR="004374BF" w:rsidRPr="004374BF">
              <w:rPr>
                <w:rFonts w:ascii="Times New Roman" w:hAnsi="Times New Roman" w:cs="Times New Roman"/>
                <w:webHidden/>
              </w:rPr>
              <w:instrText xml:space="preserve"> PAGEREF _Toc59121445 \h </w:instrText>
            </w:r>
            <w:r w:rsidR="004374BF" w:rsidRPr="004374BF">
              <w:rPr>
                <w:rFonts w:ascii="Times New Roman" w:hAnsi="Times New Roman" w:cs="Times New Roman"/>
                <w:webHidden/>
              </w:rPr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4374BF" w:rsidRPr="004374BF">
              <w:rPr>
                <w:rFonts w:ascii="Times New Roman" w:hAnsi="Times New Roman" w:cs="Times New Roman"/>
                <w:webHidden/>
              </w:rPr>
              <w:t>6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4374BF" w:rsidRPr="004374BF" w:rsidRDefault="00706C47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</w:rPr>
          </w:pPr>
          <w:hyperlink w:anchor="_Toc59121446" w:history="1">
            <w:r w:rsidR="004374BF" w:rsidRPr="004374BF">
              <w:rPr>
                <w:rStyle w:val="Hyperlink"/>
                <w:rFonts w:ascii="Times New Roman" w:hAnsi="Times New Roman" w:cs="Times New Roman"/>
                <w:w w:val="105"/>
              </w:rPr>
              <w:t>2.2 Njohja e Mobilitet Akademik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tab/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begin"/>
            </w:r>
            <w:r w:rsidR="004374BF" w:rsidRPr="004374BF">
              <w:rPr>
                <w:rFonts w:ascii="Times New Roman" w:hAnsi="Times New Roman" w:cs="Times New Roman"/>
                <w:webHidden/>
              </w:rPr>
              <w:instrText xml:space="preserve"> PAGEREF _Toc59121446 \h </w:instrText>
            </w:r>
            <w:r w:rsidR="004374BF" w:rsidRPr="004374BF">
              <w:rPr>
                <w:rFonts w:ascii="Times New Roman" w:hAnsi="Times New Roman" w:cs="Times New Roman"/>
                <w:webHidden/>
              </w:rPr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4374BF" w:rsidRPr="004374BF">
              <w:rPr>
                <w:rFonts w:ascii="Times New Roman" w:hAnsi="Times New Roman" w:cs="Times New Roman"/>
                <w:webHidden/>
              </w:rPr>
              <w:t>6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4374BF" w:rsidRPr="004374BF" w:rsidRDefault="00706C47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</w:rPr>
          </w:pPr>
          <w:hyperlink w:anchor="_Toc59121447" w:history="1">
            <w:r w:rsidR="004374BF" w:rsidRPr="004374BF">
              <w:rPr>
                <w:rStyle w:val="Hyperlink"/>
                <w:rFonts w:ascii="Times New Roman" w:hAnsi="Times New Roman" w:cs="Times New Roman"/>
                <w:w w:val="105"/>
              </w:rPr>
              <w:t>2.3 Llojet e Aktiviteteve Jashtë Programeve Mësimore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tab/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begin"/>
            </w:r>
            <w:r w:rsidR="004374BF" w:rsidRPr="004374BF">
              <w:rPr>
                <w:rFonts w:ascii="Times New Roman" w:hAnsi="Times New Roman" w:cs="Times New Roman"/>
                <w:webHidden/>
              </w:rPr>
              <w:instrText xml:space="preserve"> PAGEREF _Toc59121447 \h </w:instrText>
            </w:r>
            <w:r w:rsidR="004374BF" w:rsidRPr="004374BF">
              <w:rPr>
                <w:rFonts w:ascii="Times New Roman" w:hAnsi="Times New Roman" w:cs="Times New Roman"/>
                <w:webHidden/>
              </w:rPr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4374BF" w:rsidRPr="004374BF">
              <w:rPr>
                <w:rFonts w:ascii="Times New Roman" w:hAnsi="Times New Roman" w:cs="Times New Roman"/>
                <w:webHidden/>
              </w:rPr>
              <w:t>8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4374BF" w:rsidRPr="004374BF" w:rsidRDefault="00706C47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</w:rPr>
          </w:pPr>
          <w:hyperlink w:anchor="_Toc59121448" w:history="1">
            <w:r w:rsidR="004374BF" w:rsidRPr="004374BF">
              <w:rPr>
                <w:rStyle w:val="Hyperlink"/>
                <w:rFonts w:ascii="Times New Roman" w:hAnsi="Times New Roman" w:cs="Times New Roman"/>
                <w:w w:val="105"/>
              </w:rPr>
              <w:t>2.4 Mënyra e Llogaritjes së Kreditve - ECTS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tab/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begin"/>
            </w:r>
            <w:r w:rsidR="004374BF" w:rsidRPr="004374BF">
              <w:rPr>
                <w:rFonts w:ascii="Times New Roman" w:hAnsi="Times New Roman" w:cs="Times New Roman"/>
                <w:webHidden/>
              </w:rPr>
              <w:instrText xml:space="preserve"> PAGEREF _Toc59121448 \h </w:instrText>
            </w:r>
            <w:r w:rsidR="004374BF" w:rsidRPr="004374BF">
              <w:rPr>
                <w:rFonts w:ascii="Times New Roman" w:hAnsi="Times New Roman" w:cs="Times New Roman"/>
                <w:webHidden/>
              </w:rPr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4374BF" w:rsidRPr="004374BF">
              <w:rPr>
                <w:rFonts w:ascii="Times New Roman" w:hAnsi="Times New Roman" w:cs="Times New Roman"/>
                <w:webHidden/>
              </w:rPr>
              <w:t>8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4374BF" w:rsidRPr="004374BF" w:rsidRDefault="00706C47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</w:rPr>
          </w:pPr>
          <w:hyperlink w:anchor="_Toc59121449" w:history="1">
            <w:r w:rsidR="004374BF" w:rsidRPr="004374BF">
              <w:rPr>
                <w:rStyle w:val="Hyperlink"/>
                <w:rFonts w:ascii="Times New Roman" w:hAnsi="Times New Roman" w:cs="Times New Roman"/>
                <w:w w:val="105"/>
              </w:rPr>
              <w:t>2.4.1 Procedura e ndarjes së kredive - ECTS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tab/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begin"/>
            </w:r>
            <w:r w:rsidR="004374BF" w:rsidRPr="004374BF">
              <w:rPr>
                <w:rFonts w:ascii="Times New Roman" w:hAnsi="Times New Roman" w:cs="Times New Roman"/>
                <w:webHidden/>
              </w:rPr>
              <w:instrText xml:space="preserve"> PAGEREF _Toc59121449 \h </w:instrText>
            </w:r>
            <w:r w:rsidR="004374BF" w:rsidRPr="004374BF">
              <w:rPr>
                <w:rFonts w:ascii="Times New Roman" w:hAnsi="Times New Roman" w:cs="Times New Roman"/>
                <w:webHidden/>
              </w:rPr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4374BF" w:rsidRPr="004374BF">
              <w:rPr>
                <w:rFonts w:ascii="Times New Roman" w:hAnsi="Times New Roman" w:cs="Times New Roman"/>
                <w:webHidden/>
              </w:rPr>
              <w:t>8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4374BF" w:rsidRPr="004374BF" w:rsidRDefault="00706C47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</w:rPr>
          </w:pPr>
          <w:hyperlink w:anchor="_Toc59121450" w:history="1">
            <w:r w:rsidR="004374BF" w:rsidRPr="004374BF">
              <w:rPr>
                <w:rStyle w:val="Hyperlink"/>
                <w:rFonts w:ascii="Times New Roman" w:hAnsi="Times New Roman" w:cs="Times New Roman"/>
                <w:w w:val="105"/>
              </w:rPr>
              <w:t>2.4.2 Pranimi i kredive ECTS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tab/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begin"/>
            </w:r>
            <w:r w:rsidR="004374BF" w:rsidRPr="004374BF">
              <w:rPr>
                <w:rFonts w:ascii="Times New Roman" w:hAnsi="Times New Roman" w:cs="Times New Roman"/>
                <w:webHidden/>
              </w:rPr>
              <w:instrText xml:space="preserve"> PAGEREF _Toc59121450 \h </w:instrText>
            </w:r>
            <w:r w:rsidR="004374BF" w:rsidRPr="004374BF">
              <w:rPr>
                <w:rFonts w:ascii="Times New Roman" w:hAnsi="Times New Roman" w:cs="Times New Roman"/>
                <w:webHidden/>
              </w:rPr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4374BF" w:rsidRPr="004374BF">
              <w:rPr>
                <w:rFonts w:ascii="Times New Roman" w:hAnsi="Times New Roman" w:cs="Times New Roman"/>
                <w:webHidden/>
              </w:rPr>
              <w:t>9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4374BF" w:rsidRPr="004374BF" w:rsidRDefault="00706C47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</w:rPr>
          </w:pPr>
          <w:hyperlink w:anchor="_Toc59121451" w:history="1">
            <w:r w:rsidR="004374BF" w:rsidRPr="004374BF">
              <w:rPr>
                <w:rStyle w:val="Hyperlink"/>
                <w:rFonts w:ascii="Times New Roman" w:hAnsi="Times New Roman" w:cs="Times New Roman"/>
                <w:w w:val="105"/>
              </w:rPr>
              <w:t>2.5 Raportimi në Lidhje me Aktivitetet Jashtë Programeve Mësimore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tab/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begin"/>
            </w:r>
            <w:r w:rsidR="004374BF" w:rsidRPr="004374BF">
              <w:rPr>
                <w:rFonts w:ascii="Times New Roman" w:hAnsi="Times New Roman" w:cs="Times New Roman"/>
                <w:webHidden/>
              </w:rPr>
              <w:instrText xml:space="preserve"> PAGEREF _Toc59121451 \h </w:instrText>
            </w:r>
            <w:r w:rsidR="004374BF" w:rsidRPr="004374BF">
              <w:rPr>
                <w:rFonts w:ascii="Times New Roman" w:hAnsi="Times New Roman" w:cs="Times New Roman"/>
                <w:webHidden/>
              </w:rPr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4374BF" w:rsidRPr="004374BF">
              <w:rPr>
                <w:rFonts w:ascii="Times New Roman" w:hAnsi="Times New Roman" w:cs="Times New Roman"/>
                <w:webHidden/>
              </w:rPr>
              <w:t>9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4374BF" w:rsidRPr="004374BF" w:rsidRDefault="00706C47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</w:rPr>
          </w:pPr>
          <w:hyperlink w:anchor="_Toc59121452" w:history="1">
            <w:r w:rsidR="004374BF" w:rsidRPr="004374BF">
              <w:rPr>
                <w:rStyle w:val="Hyperlink"/>
                <w:rFonts w:ascii="Times New Roman" w:hAnsi="Times New Roman" w:cs="Times New Roman"/>
                <w:b/>
                <w:w w:val="105"/>
              </w:rPr>
              <w:t>DISPOZITAT KALIMTARE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tab/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begin"/>
            </w:r>
            <w:r w:rsidR="004374BF" w:rsidRPr="004374BF">
              <w:rPr>
                <w:rFonts w:ascii="Times New Roman" w:hAnsi="Times New Roman" w:cs="Times New Roman"/>
                <w:webHidden/>
              </w:rPr>
              <w:instrText xml:space="preserve"> PAGEREF _Toc59121452 \h </w:instrText>
            </w:r>
            <w:r w:rsidR="004374BF" w:rsidRPr="004374BF">
              <w:rPr>
                <w:rFonts w:ascii="Times New Roman" w:hAnsi="Times New Roman" w:cs="Times New Roman"/>
                <w:webHidden/>
              </w:rPr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4374BF" w:rsidRPr="004374BF">
              <w:rPr>
                <w:rFonts w:ascii="Times New Roman" w:hAnsi="Times New Roman" w:cs="Times New Roman"/>
                <w:webHidden/>
              </w:rPr>
              <w:t>10</w:t>
            </w:r>
            <w:r w:rsidR="004374BF" w:rsidRPr="004374BF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4374BF" w:rsidRDefault="004374BF">
          <w:r w:rsidRPr="004374BF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4374BF" w:rsidRDefault="004374B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2B67" w:rsidRPr="00EF422D" w:rsidRDefault="008C5F81" w:rsidP="008C5F81">
      <w:pPr>
        <w:rPr>
          <w:rFonts w:ascii="Times New Roman" w:hAnsi="Times New Roman" w:cs="Times New Roman"/>
          <w:sz w:val="24"/>
          <w:szCs w:val="24"/>
        </w:rPr>
      </w:pPr>
      <w:r w:rsidRPr="00EF422D">
        <w:rPr>
          <w:rFonts w:ascii="Times New Roman" w:hAnsi="Times New Roman" w:cs="Times New Roman"/>
          <w:sz w:val="24"/>
          <w:szCs w:val="24"/>
        </w:rPr>
        <w:lastRenderedPageBreak/>
        <w:t xml:space="preserve">Në mbështetje të nenin xxx të Statutit të Kolegjit të Menaxhementit Internacional – GLOBUS, këshilli mësimor shkencor, në takimin e mbajtur më: xx.xx.xxxx ka analizuar </w:t>
      </w:r>
      <w:r w:rsidR="00B00E96" w:rsidRPr="00EF422D">
        <w:rPr>
          <w:rFonts w:ascii="Times New Roman" w:hAnsi="Times New Roman" w:cs="Times New Roman"/>
          <w:sz w:val="24"/>
          <w:szCs w:val="24"/>
        </w:rPr>
        <w:t>Rregulloren për Mobilitet të Studentëve</w:t>
      </w:r>
      <w:r w:rsidRPr="00EF422D">
        <w:rPr>
          <w:rFonts w:ascii="Times New Roman" w:hAnsi="Times New Roman" w:cs="Times New Roman"/>
          <w:sz w:val="24"/>
          <w:szCs w:val="24"/>
        </w:rPr>
        <w:t xml:space="preserve"> dhe i ka propozuar për aprovim Bordit Drejtues të Kolegjit. Bordi Drejtues i kolegjit në takimin e mbajtur më: xx.xx.xxxx, me propozim të këshillit mësimor shkencor mori:</w:t>
      </w:r>
    </w:p>
    <w:p w:rsidR="008C5F81" w:rsidRPr="00EF422D" w:rsidRDefault="008C5F81" w:rsidP="008C5F81">
      <w:pPr>
        <w:rPr>
          <w:rFonts w:ascii="Times New Roman" w:hAnsi="Times New Roman" w:cs="Times New Roman"/>
          <w:sz w:val="24"/>
          <w:szCs w:val="24"/>
        </w:rPr>
      </w:pPr>
    </w:p>
    <w:p w:rsidR="008C5F81" w:rsidRPr="00EF422D" w:rsidRDefault="008C5F81" w:rsidP="008C5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22D">
        <w:rPr>
          <w:rFonts w:ascii="Times New Roman" w:hAnsi="Times New Roman" w:cs="Times New Roman"/>
          <w:b/>
          <w:sz w:val="32"/>
          <w:szCs w:val="32"/>
        </w:rPr>
        <w:t>VENDIM</w:t>
      </w:r>
    </w:p>
    <w:p w:rsidR="008C5F81" w:rsidRPr="00EF422D" w:rsidRDefault="008C5F81" w:rsidP="008C5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F81" w:rsidRPr="00EF422D" w:rsidRDefault="008C5F81" w:rsidP="008C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22D">
        <w:rPr>
          <w:rFonts w:ascii="Times New Roman" w:hAnsi="Times New Roman" w:cs="Times New Roman"/>
          <w:sz w:val="24"/>
          <w:szCs w:val="24"/>
        </w:rPr>
        <w:t xml:space="preserve">Për aprovimin e </w:t>
      </w:r>
      <w:r w:rsidR="00B00E96" w:rsidRPr="00EF422D">
        <w:rPr>
          <w:rFonts w:ascii="Times New Roman" w:hAnsi="Times New Roman" w:cs="Times New Roman"/>
          <w:sz w:val="24"/>
          <w:szCs w:val="24"/>
        </w:rPr>
        <w:t>Rregullores për Mobilitet të Studentëve</w:t>
      </w:r>
      <w:r w:rsidRPr="00EF422D">
        <w:rPr>
          <w:rFonts w:ascii="Times New Roman" w:hAnsi="Times New Roman" w:cs="Times New Roman"/>
          <w:sz w:val="24"/>
          <w:szCs w:val="24"/>
        </w:rPr>
        <w:t xml:space="preserve"> të Kolegjit të Menaxhmentit Internacional - GLOBUS</w:t>
      </w:r>
    </w:p>
    <w:p w:rsidR="008C5F81" w:rsidRPr="00EF422D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EF422D" w:rsidRDefault="008C5F81" w:rsidP="008C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22D">
        <w:rPr>
          <w:rFonts w:ascii="Times New Roman" w:hAnsi="Times New Roman" w:cs="Times New Roman"/>
          <w:sz w:val="24"/>
          <w:szCs w:val="24"/>
        </w:rPr>
        <w:t xml:space="preserve">Këtij vendimi i bashkëngjitet </w:t>
      </w:r>
      <w:r w:rsidR="00B00E96" w:rsidRPr="00EF422D">
        <w:rPr>
          <w:rFonts w:ascii="Times New Roman" w:hAnsi="Times New Roman" w:cs="Times New Roman"/>
          <w:sz w:val="24"/>
          <w:szCs w:val="24"/>
        </w:rPr>
        <w:t>Rregullorja për Mobilitet të Studentëve</w:t>
      </w:r>
      <w:r w:rsidR="005D68B7" w:rsidRPr="00EF422D">
        <w:rPr>
          <w:rFonts w:ascii="Times New Roman" w:hAnsi="Times New Roman" w:cs="Times New Roman"/>
          <w:sz w:val="24"/>
          <w:szCs w:val="24"/>
        </w:rPr>
        <w:t xml:space="preserve"> </w:t>
      </w:r>
      <w:r w:rsidRPr="00EF422D">
        <w:rPr>
          <w:rFonts w:ascii="Times New Roman" w:hAnsi="Times New Roman" w:cs="Times New Roman"/>
          <w:sz w:val="24"/>
          <w:szCs w:val="24"/>
        </w:rPr>
        <w:t xml:space="preserve">të </w:t>
      </w:r>
      <w:r w:rsidR="005D68B7" w:rsidRPr="00EF422D">
        <w:rPr>
          <w:rFonts w:ascii="Times New Roman" w:hAnsi="Times New Roman" w:cs="Times New Roman"/>
          <w:sz w:val="24"/>
          <w:szCs w:val="24"/>
        </w:rPr>
        <w:t xml:space="preserve">Kolegjit të </w:t>
      </w:r>
      <w:r w:rsidRPr="00EF422D">
        <w:rPr>
          <w:rFonts w:ascii="Times New Roman" w:hAnsi="Times New Roman" w:cs="Times New Roman"/>
          <w:sz w:val="24"/>
          <w:szCs w:val="24"/>
        </w:rPr>
        <w:t>Menaxhmentit Internacional – GLOBUS</w:t>
      </w:r>
    </w:p>
    <w:p w:rsidR="008C5F81" w:rsidRPr="00EF422D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EF422D" w:rsidRDefault="008C5F81" w:rsidP="008C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22D">
        <w:rPr>
          <w:rFonts w:ascii="Times New Roman" w:hAnsi="Times New Roman" w:cs="Times New Roman"/>
          <w:sz w:val="24"/>
          <w:szCs w:val="24"/>
        </w:rPr>
        <w:t>Vendimi hynë fuqi menjëherë.</w:t>
      </w:r>
    </w:p>
    <w:p w:rsidR="008C5F81" w:rsidRPr="00EF422D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EF422D" w:rsidRDefault="008C5F81" w:rsidP="008C5F81">
      <w:pPr>
        <w:rPr>
          <w:rFonts w:ascii="Times New Roman" w:hAnsi="Times New Roman" w:cs="Times New Roman"/>
          <w:sz w:val="24"/>
          <w:szCs w:val="24"/>
        </w:rPr>
      </w:pPr>
    </w:p>
    <w:p w:rsidR="008C5F81" w:rsidRPr="00EF422D" w:rsidRDefault="008C5F81" w:rsidP="008C5F81">
      <w:pPr>
        <w:rPr>
          <w:rFonts w:ascii="Times New Roman" w:hAnsi="Times New Roman" w:cs="Times New Roman"/>
          <w:sz w:val="24"/>
          <w:szCs w:val="24"/>
        </w:rPr>
      </w:pPr>
      <w:r w:rsidRPr="00EF422D">
        <w:rPr>
          <w:rFonts w:ascii="Times New Roman" w:hAnsi="Times New Roman" w:cs="Times New Roman"/>
          <w:sz w:val="24"/>
          <w:szCs w:val="24"/>
        </w:rPr>
        <w:t>Vendimi t’i dërgohet:</w:t>
      </w:r>
    </w:p>
    <w:p w:rsidR="008C5F81" w:rsidRPr="00EF422D" w:rsidRDefault="008C5F81" w:rsidP="008C5F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22D">
        <w:rPr>
          <w:rFonts w:ascii="Times New Roman" w:hAnsi="Times New Roman" w:cs="Times New Roman"/>
          <w:sz w:val="24"/>
          <w:szCs w:val="24"/>
        </w:rPr>
        <w:t>Arkivit të Kolegjit</w:t>
      </w:r>
    </w:p>
    <w:p w:rsidR="008C5F81" w:rsidRPr="00EF422D" w:rsidRDefault="008C5F81" w:rsidP="008C5F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22D">
        <w:rPr>
          <w:rFonts w:ascii="Times New Roman" w:hAnsi="Times New Roman" w:cs="Times New Roman"/>
          <w:sz w:val="24"/>
          <w:szCs w:val="24"/>
        </w:rPr>
        <w:t>Menaxhmentit të Kolegjit</w:t>
      </w:r>
    </w:p>
    <w:p w:rsidR="008C5F81" w:rsidRPr="00EF422D" w:rsidRDefault="008C5F81" w:rsidP="008C5F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22D">
        <w:rPr>
          <w:rFonts w:ascii="Times New Roman" w:hAnsi="Times New Roman" w:cs="Times New Roman"/>
          <w:sz w:val="24"/>
          <w:szCs w:val="24"/>
        </w:rPr>
        <w:t>Sekretarit të Përgjithshëm</w:t>
      </w:r>
    </w:p>
    <w:p w:rsidR="008C5F81" w:rsidRPr="00EF422D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EF422D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EF422D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EF422D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EF422D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EF422D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EF422D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EF422D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FAB" w:rsidRDefault="00D75FAB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74BF" w:rsidRPr="00EF422D" w:rsidRDefault="004374BF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FAB" w:rsidRPr="00EF422D" w:rsidRDefault="00D75FAB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FAB" w:rsidRPr="00EF422D" w:rsidRDefault="00D75FAB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4728" w:rsidRDefault="00C04728" w:rsidP="00C0472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F422D" w:rsidRDefault="00EF422D" w:rsidP="00C0472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F422D" w:rsidRPr="00EF422D" w:rsidRDefault="00EF422D" w:rsidP="00EF422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Kjo rregullore shërbe</w:t>
      </w:r>
      <w:r w:rsidRPr="00EF422D">
        <w:rPr>
          <w:rFonts w:ascii="Times New Roman" w:hAnsi="Times New Roman" w:cs="Times New Roman"/>
          <w:sz w:val="24"/>
          <w:szCs w:val="24"/>
        </w:rPr>
        <w:t xml:space="preserve">në për të rregulluar nga afër procedurat e lëvizjes së studentëve, llojin dhe kohëzgjatjen e lëvizjes, dokumentet e studentëve, të drejtat dhe përgjegjësitë e studentëve, si dhe pyetje të tjera në lidhje me realizimin e lëvizshmërisë në </w:t>
      </w:r>
      <w:r>
        <w:rPr>
          <w:rFonts w:ascii="Times New Roman" w:hAnsi="Times New Roman" w:cs="Times New Roman"/>
          <w:sz w:val="24"/>
          <w:szCs w:val="24"/>
        </w:rPr>
        <w:t>Kolegjin e Menaxhmentit Internacional</w:t>
      </w:r>
      <w:r w:rsidRPr="00EF422D">
        <w:rPr>
          <w:rFonts w:ascii="Times New Roman" w:hAnsi="Times New Roman" w:cs="Times New Roman"/>
          <w:sz w:val="24"/>
          <w:szCs w:val="24"/>
        </w:rPr>
        <w:t xml:space="preserve"> (në tekstin e mëtejmë: </w:t>
      </w:r>
      <w:r>
        <w:rPr>
          <w:rFonts w:ascii="Times New Roman" w:hAnsi="Times New Roman" w:cs="Times New Roman"/>
          <w:sz w:val="24"/>
          <w:szCs w:val="24"/>
        </w:rPr>
        <w:t>Kolegji Globus</w:t>
      </w:r>
      <w:r w:rsidRPr="00EF422D">
        <w:rPr>
          <w:rFonts w:ascii="Times New Roman" w:hAnsi="Times New Roman" w:cs="Times New Roman"/>
          <w:sz w:val="24"/>
          <w:szCs w:val="24"/>
        </w:rPr>
        <w:t>).</w:t>
      </w:r>
    </w:p>
    <w:p w:rsidR="00C04728" w:rsidRPr="00D45A2D" w:rsidRDefault="00C04728" w:rsidP="00EF422D">
      <w:pPr>
        <w:pStyle w:val="Heading1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9121440"/>
      <w:r w:rsidRPr="00D45A2D">
        <w:rPr>
          <w:rFonts w:ascii="Times New Roman" w:hAnsi="Times New Roman" w:cs="Times New Roman"/>
          <w:b/>
          <w:sz w:val="28"/>
          <w:szCs w:val="28"/>
        </w:rPr>
        <w:t>QËLLIMI</w:t>
      </w:r>
      <w:bookmarkEnd w:id="1"/>
    </w:p>
    <w:p w:rsidR="00C04728" w:rsidRPr="00072D6D" w:rsidRDefault="00C04728" w:rsidP="00EF422D">
      <w:pPr>
        <w:pStyle w:val="BodyText"/>
        <w:spacing w:before="52" w:line="290" w:lineRule="auto"/>
        <w:ind w:left="1267" w:right="1238" w:firstLine="5"/>
        <w:jc w:val="center"/>
        <w:rPr>
          <w:b/>
          <w:color w:val="2D2B2D"/>
          <w:sz w:val="24"/>
          <w:szCs w:val="24"/>
          <w:lang w:val="sq-AL"/>
        </w:rPr>
      </w:pPr>
      <w:r w:rsidRPr="00072D6D">
        <w:rPr>
          <w:b/>
          <w:color w:val="2D2B2D"/>
          <w:sz w:val="24"/>
          <w:szCs w:val="24"/>
          <w:lang w:val="sq-AL"/>
        </w:rPr>
        <w:t>Neni 1</w:t>
      </w:r>
    </w:p>
    <w:p w:rsidR="0076087D" w:rsidRPr="0076087D" w:rsidRDefault="0076087D" w:rsidP="0076087D">
      <w:pPr>
        <w:pStyle w:val="BodyText"/>
      </w:pPr>
    </w:p>
    <w:p w:rsidR="00301897" w:rsidRDefault="00C04728" w:rsidP="00D45A2D">
      <w:pPr>
        <w:pStyle w:val="BodyText"/>
        <w:spacing w:before="52" w:line="276" w:lineRule="auto"/>
        <w:ind w:firstLine="5"/>
        <w:jc w:val="both"/>
        <w:rPr>
          <w:sz w:val="24"/>
          <w:szCs w:val="24"/>
          <w:lang w:val="sq-AL"/>
        </w:rPr>
      </w:pPr>
      <w:r w:rsidRPr="00D45A2D">
        <w:rPr>
          <w:sz w:val="24"/>
          <w:szCs w:val="24"/>
          <w:lang w:val="sq-AL"/>
        </w:rPr>
        <w:t xml:space="preserve">Qëllimi i kësaj rregulloreje është respektimi i të gjitha standardeve të Bashkimit </w:t>
      </w:r>
      <w:r w:rsidR="00D45A2D">
        <w:rPr>
          <w:sz w:val="24"/>
          <w:szCs w:val="24"/>
          <w:lang w:val="sq-AL"/>
        </w:rPr>
        <w:t>Evropian që</w:t>
      </w:r>
      <w:r w:rsidRPr="00D45A2D">
        <w:rPr>
          <w:sz w:val="24"/>
          <w:szCs w:val="24"/>
          <w:lang w:val="sq-AL"/>
        </w:rPr>
        <w:t xml:space="preserve"> </w:t>
      </w:r>
      <w:r w:rsidR="00D45A2D">
        <w:rPr>
          <w:sz w:val="24"/>
          <w:szCs w:val="24"/>
          <w:lang w:val="sq-AL"/>
        </w:rPr>
        <w:t xml:space="preserve">e </w:t>
      </w:r>
      <w:r w:rsidRPr="00D45A2D">
        <w:rPr>
          <w:sz w:val="24"/>
          <w:szCs w:val="24"/>
          <w:lang w:val="sq-AL"/>
        </w:rPr>
        <w:t>orientojnë Institucionet e Arsimi</w:t>
      </w:r>
      <w:r w:rsidR="00D45A2D">
        <w:rPr>
          <w:sz w:val="24"/>
          <w:szCs w:val="24"/>
          <w:lang w:val="sq-AL"/>
        </w:rPr>
        <w:t>t të Lartë drejt integrimit në hapesirë</w:t>
      </w:r>
      <w:r w:rsidRPr="00D45A2D">
        <w:rPr>
          <w:sz w:val="24"/>
          <w:szCs w:val="24"/>
          <w:lang w:val="sq-AL"/>
        </w:rPr>
        <w:t xml:space="preserve">n Evropiane të  Arsimit  të Lartë dhe </w:t>
      </w:r>
      <w:r w:rsidR="00D45A2D">
        <w:rPr>
          <w:sz w:val="24"/>
          <w:szCs w:val="24"/>
          <w:lang w:val="sq-AL"/>
        </w:rPr>
        <w:t>hapesirë</w:t>
      </w:r>
      <w:r w:rsidRPr="00D45A2D">
        <w:rPr>
          <w:sz w:val="24"/>
          <w:szCs w:val="24"/>
          <w:lang w:val="sq-AL"/>
        </w:rPr>
        <w:t xml:space="preserve">n Evropiane të Hulumtimeve Shkencore, dhe atë, duke </w:t>
      </w:r>
      <w:r w:rsidR="00D45A2D">
        <w:rPr>
          <w:sz w:val="24"/>
          <w:szCs w:val="24"/>
          <w:lang w:val="sq-AL"/>
        </w:rPr>
        <w:t>respektuar deklaratë</w:t>
      </w:r>
      <w:r w:rsidRPr="00D45A2D">
        <w:rPr>
          <w:sz w:val="24"/>
          <w:szCs w:val="24"/>
          <w:lang w:val="sq-AL"/>
        </w:rPr>
        <w:t xml:space="preserve">n </w:t>
      </w:r>
      <w:r w:rsidR="00D45A2D">
        <w:rPr>
          <w:sz w:val="24"/>
          <w:szCs w:val="24"/>
          <w:lang w:val="sq-AL"/>
        </w:rPr>
        <w:t>e p</w:t>
      </w:r>
      <w:r w:rsidRPr="00D45A2D">
        <w:rPr>
          <w:sz w:val="24"/>
          <w:szCs w:val="24"/>
          <w:lang w:val="sq-AL"/>
        </w:rPr>
        <w:t>rocesit te Bolonjës dhe re</w:t>
      </w:r>
      <w:r w:rsidR="00D45A2D">
        <w:rPr>
          <w:sz w:val="24"/>
          <w:szCs w:val="24"/>
          <w:lang w:val="sq-AL"/>
        </w:rPr>
        <w:t>komandimet e Këshillit të Evropë</w:t>
      </w:r>
      <w:r w:rsidRPr="00D45A2D">
        <w:rPr>
          <w:sz w:val="24"/>
          <w:szCs w:val="24"/>
          <w:lang w:val="sq-AL"/>
        </w:rPr>
        <w:t xml:space="preserve">s për inkurajimin dhe promovimin e mobilitetit akademik dhe personelit (2011/C 199/01). Gjithashtu me këtë rregullore, njësive akademike të </w:t>
      </w:r>
      <w:r w:rsidR="00D45A2D">
        <w:rPr>
          <w:sz w:val="24"/>
          <w:szCs w:val="24"/>
          <w:lang w:val="sq-AL"/>
        </w:rPr>
        <w:t>Kolegjit GLOBUS</w:t>
      </w:r>
      <w:r w:rsidRPr="00D45A2D">
        <w:rPr>
          <w:sz w:val="24"/>
          <w:szCs w:val="24"/>
          <w:lang w:val="sq-AL"/>
        </w:rPr>
        <w:t xml:space="preserve"> ju kërkohet </w:t>
      </w:r>
      <w:r w:rsidR="00D45A2D">
        <w:rPr>
          <w:sz w:val="24"/>
          <w:szCs w:val="24"/>
          <w:lang w:val="sq-AL"/>
        </w:rPr>
        <w:t>që</w:t>
      </w:r>
      <w:r w:rsidRPr="00D45A2D">
        <w:rPr>
          <w:sz w:val="24"/>
          <w:szCs w:val="24"/>
          <w:lang w:val="sq-AL"/>
        </w:rPr>
        <w:t xml:space="preserve"> t'i zbatojnë procedurat para dhe pas përfundimit  të </w:t>
      </w:r>
      <w:r w:rsidR="00D45A2D">
        <w:rPr>
          <w:sz w:val="24"/>
          <w:szCs w:val="24"/>
          <w:lang w:val="sq-AL"/>
        </w:rPr>
        <w:t>m</w:t>
      </w:r>
      <w:r w:rsidRPr="00D45A2D">
        <w:rPr>
          <w:sz w:val="24"/>
          <w:szCs w:val="24"/>
          <w:lang w:val="sq-AL"/>
        </w:rPr>
        <w:t>obilitetit  Akademik</w:t>
      </w:r>
      <w:r w:rsidR="00D45A2D">
        <w:rPr>
          <w:sz w:val="24"/>
          <w:szCs w:val="24"/>
          <w:lang w:val="sq-AL"/>
        </w:rPr>
        <w:t xml:space="preserve">. </w:t>
      </w:r>
    </w:p>
    <w:p w:rsidR="00D45A2D" w:rsidRDefault="00D45A2D" w:rsidP="00D45A2D">
      <w:pPr>
        <w:pStyle w:val="BodyText"/>
        <w:spacing w:before="52" w:line="276" w:lineRule="auto"/>
        <w:ind w:firstLine="5"/>
        <w:jc w:val="both"/>
        <w:rPr>
          <w:sz w:val="24"/>
          <w:szCs w:val="24"/>
          <w:lang w:val="sq-AL"/>
        </w:rPr>
      </w:pPr>
    </w:p>
    <w:p w:rsidR="00D45A2D" w:rsidRPr="00072D6D" w:rsidRDefault="00072D6D" w:rsidP="00072D6D">
      <w:pPr>
        <w:pStyle w:val="Heading2"/>
        <w:jc w:val="center"/>
        <w:rPr>
          <w:rFonts w:ascii="Times New Roman" w:hAnsi="Times New Roman" w:cs="Times New Roman"/>
          <w:b/>
        </w:rPr>
      </w:pPr>
      <w:bookmarkStart w:id="2" w:name="_Toc59121441"/>
      <w:r w:rsidRPr="00072D6D">
        <w:rPr>
          <w:rFonts w:ascii="Times New Roman" w:hAnsi="Times New Roman" w:cs="Times New Roman"/>
          <w:b/>
        </w:rPr>
        <w:t xml:space="preserve">1.1 </w:t>
      </w:r>
      <w:r w:rsidR="00D45A2D" w:rsidRPr="00072D6D">
        <w:rPr>
          <w:rFonts w:ascii="Times New Roman" w:hAnsi="Times New Roman" w:cs="Times New Roman"/>
          <w:b/>
        </w:rPr>
        <w:t>R</w:t>
      </w:r>
      <w:r w:rsidRPr="00072D6D">
        <w:rPr>
          <w:rFonts w:ascii="Times New Roman" w:hAnsi="Times New Roman" w:cs="Times New Roman"/>
          <w:b/>
        </w:rPr>
        <w:t>ealizimi i Mobilitetit</w:t>
      </w:r>
      <w:bookmarkEnd w:id="2"/>
    </w:p>
    <w:p w:rsidR="00D45A2D" w:rsidRPr="00D45A2D" w:rsidRDefault="00D45A2D" w:rsidP="00D45A2D">
      <w:pPr>
        <w:pStyle w:val="BodyText"/>
        <w:spacing w:before="52" w:line="290" w:lineRule="auto"/>
        <w:ind w:left="720" w:right="1238"/>
        <w:jc w:val="center"/>
        <w:rPr>
          <w:b/>
          <w:sz w:val="24"/>
          <w:szCs w:val="24"/>
          <w:lang w:val="sq-AL"/>
        </w:rPr>
      </w:pPr>
      <w:r w:rsidRPr="00D45A2D">
        <w:rPr>
          <w:b/>
          <w:sz w:val="24"/>
          <w:szCs w:val="24"/>
          <w:lang w:val="sq-AL"/>
        </w:rPr>
        <w:t>Neni 2</w:t>
      </w:r>
    </w:p>
    <w:p w:rsidR="00D45A2D" w:rsidRDefault="00D45A2D" w:rsidP="00D45A2D">
      <w:pPr>
        <w:pStyle w:val="BodyText"/>
      </w:pPr>
    </w:p>
    <w:p w:rsidR="00D45A2D" w:rsidRPr="00D45A2D" w:rsidRDefault="00D45A2D" w:rsidP="00D45A2D">
      <w:pPr>
        <w:rPr>
          <w:rFonts w:ascii="Times New Roman" w:hAnsi="Times New Roman" w:cs="Times New Roman"/>
          <w:sz w:val="24"/>
          <w:szCs w:val="24"/>
        </w:rPr>
      </w:pPr>
      <w:r w:rsidRPr="00D45A2D">
        <w:rPr>
          <w:rFonts w:ascii="Times New Roman" w:hAnsi="Times New Roman" w:cs="Times New Roman"/>
          <w:sz w:val="24"/>
          <w:szCs w:val="24"/>
        </w:rPr>
        <w:t xml:space="preserve">Lëvizshmëria e studentëve realizohet përmes marrëveshjeve institucionale të </w:t>
      </w:r>
      <w:r>
        <w:rPr>
          <w:rFonts w:ascii="Times New Roman" w:hAnsi="Times New Roman" w:cs="Times New Roman"/>
          <w:sz w:val="24"/>
          <w:szCs w:val="24"/>
        </w:rPr>
        <w:t>Kolegjit GLOBUS</w:t>
      </w:r>
      <w:r w:rsidRPr="00D45A2D">
        <w:rPr>
          <w:rFonts w:ascii="Times New Roman" w:hAnsi="Times New Roman" w:cs="Times New Roman"/>
          <w:sz w:val="24"/>
          <w:szCs w:val="24"/>
        </w:rPr>
        <w:t>, në bashkëpunim me koordinatorët akademikë për bashkëpunim ndërkombëtar dhe mobilitetin e studentëve</w:t>
      </w:r>
      <w:r>
        <w:rPr>
          <w:rFonts w:ascii="Times New Roman" w:hAnsi="Times New Roman" w:cs="Times New Roman"/>
          <w:sz w:val="24"/>
          <w:szCs w:val="24"/>
        </w:rPr>
        <w:t>, si</w:t>
      </w:r>
      <w:r w:rsidRPr="00D45A2D">
        <w:rPr>
          <w:rFonts w:ascii="Times New Roman" w:hAnsi="Times New Roman" w:cs="Times New Roman"/>
          <w:sz w:val="24"/>
          <w:szCs w:val="24"/>
        </w:rPr>
        <w:t xml:space="preserve"> dhe në bashkëpunim me koordinatorin administrativ për stafin mësimor dhe administrativ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A2D" w:rsidRDefault="00D45A2D" w:rsidP="00D45A2D">
      <w:pPr>
        <w:pStyle w:val="BodyText"/>
        <w:spacing w:before="52" w:line="276" w:lineRule="auto"/>
        <w:ind w:firstLine="5"/>
        <w:jc w:val="both"/>
        <w:rPr>
          <w:lang w:val="sq-AL"/>
        </w:rPr>
      </w:pPr>
      <w:r>
        <w:rPr>
          <w:lang w:val="sq-AL"/>
        </w:rPr>
        <w:t>Mobiliteti apo lëvizshmëria e student</w:t>
      </w:r>
      <w:r w:rsidR="00CE719D">
        <w:rPr>
          <w:lang w:val="sq-AL"/>
        </w:rPr>
        <w:t>ë</w:t>
      </w:r>
      <w:r>
        <w:rPr>
          <w:lang w:val="sq-AL"/>
        </w:rPr>
        <w:t>ve</w:t>
      </w:r>
      <w:r w:rsidRPr="00D45A2D">
        <w:rPr>
          <w:lang w:val="sq-AL"/>
        </w:rPr>
        <w:t xml:space="preserve"> </w:t>
      </w:r>
      <w:r>
        <w:rPr>
          <w:lang w:val="sq-AL"/>
        </w:rPr>
        <w:t>mund t</w:t>
      </w:r>
      <w:r w:rsidR="00CE719D">
        <w:rPr>
          <w:lang w:val="sq-AL"/>
        </w:rPr>
        <w:t>ë</w:t>
      </w:r>
      <w:r>
        <w:rPr>
          <w:lang w:val="sq-AL"/>
        </w:rPr>
        <w:t xml:space="preserve"> realizohet edhe duke p</w:t>
      </w:r>
      <w:r w:rsidR="00CE719D">
        <w:rPr>
          <w:lang w:val="sq-AL"/>
        </w:rPr>
        <w:t>ë</w:t>
      </w:r>
      <w:r>
        <w:rPr>
          <w:lang w:val="sq-AL"/>
        </w:rPr>
        <w:t xml:space="preserve">rjashtuar </w:t>
      </w:r>
      <w:r w:rsidRPr="00D45A2D">
        <w:rPr>
          <w:lang w:val="sq-AL"/>
        </w:rPr>
        <w:t>paragrafi</w:t>
      </w:r>
      <w:r>
        <w:rPr>
          <w:lang w:val="sq-AL"/>
        </w:rPr>
        <w:t>n e</w:t>
      </w:r>
      <w:r w:rsidRPr="00D45A2D">
        <w:rPr>
          <w:lang w:val="sq-AL"/>
        </w:rPr>
        <w:t xml:space="preserve"> mëparshëm, </w:t>
      </w:r>
      <w:r>
        <w:rPr>
          <w:lang w:val="sq-AL"/>
        </w:rPr>
        <w:t>ku studentët munden gjithashtu</w:t>
      </w:r>
      <w:r w:rsidRPr="00D45A2D">
        <w:rPr>
          <w:lang w:val="sq-AL"/>
        </w:rPr>
        <w:t xml:space="preserve"> në kushte të caktuara, të realizojnë lëvizjen jashtë marrëveshjeve institucionale të </w:t>
      </w:r>
      <w:r>
        <w:rPr>
          <w:lang w:val="sq-AL"/>
        </w:rPr>
        <w:t>Kolegjit GLOBUS</w:t>
      </w:r>
      <w:r w:rsidRPr="00D45A2D">
        <w:rPr>
          <w:lang w:val="sq-AL"/>
        </w:rPr>
        <w:t>.</w:t>
      </w:r>
    </w:p>
    <w:p w:rsidR="00072D6D" w:rsidRDefault="00072D6D" w:rsidP="00D45A2D">
      <w:pPr>
        <w:pStyle w:val="BodyText"/>
        <w:spacing w:before="52" w:line="276" w:lineRule="auto"/>
        <w:ind w:firstLine="5"/>
        <w:jc w:val="both"/>
        <w:rPr>
          <w:lang w:val="sq-AL"/>
        </w:rPr>
      </w:pPr>
    </w:p>
    <w:p w:rsidR="00072D6D" w:rsidRPr="00072D6D" w:rsidRDefault="00072D6D" w:rsidP="00072D6D">
      <w:pPr>
        <w:pStyle w:val="Heading2"/>
        <w:jc w:val="center"/>
        <w:rPr>
          <w:rFonts w:ascii="Times New Roman" w:hAnsi="Times New Roman" w:cs="Times New Roman"/>
          <w:b/>
          <w:color w:val="auto"/>
        </w:rPr>
      </w:pPr>
      <w:bookmarkStart w:id="3" w:name="_Toc59121442"/>
      <w:r>
        <w:rPr>
          <w:rFonts w:ascii="Times New Roman" w:hAnsi="Times New Roman" w:cs="Times New Roman"/>
          <w:b/>
        </w:rPr>
        <w:t>1.2 Përkufizimet dhe Përmbajtja e Termave T</w:t>
      </w:r>
      <w:r w:rsidRPr="00072D6D">
        <w:rPr>
          <w:rFonts w:ascii="Times New Roman" w:hAnsi="Times New Roman" w:cs="Times New Roman"/>
          <w:b/>
        </w:rPr>
        <w:t>hemelorë</w:t>
      </w:r>
      <w:bookmarkEnd w:id="3"/>
    </w:p>
    <w:p w:rsidR="00072D6D" w:rsidRDefault="00072D6D" w:rsidP="00072D6D">
      <w:pPr>
        <w:pStyle w:val="BodyText"/>
        <w:spacing w:before="52" w:line="290" w:lineRule="auto"/>
        <w:ind w:left="720" w:right="1238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Neni 3</w:t>
      </w:r>
    </w:p>
    <w:p w:rsidR="00072D6D" w:rsidRDefault="00072D6D" w:rsidP="00072D6D">
      <w:pPr>
        <w:pStyle w:val="BodyText"/>
        <w:numPr>
          <w:ilvl w:val="0"/>
          <w:numId w:val="13"/>
        </w:numPr>
        <w:spacing w:before="52" w:line="276" w:lineRule="auto"/>
        <w:ind w:left="360"/>
        <w:jc w:val="both"/>
        <w:rPr>
          <w:sz w:val="24"/>
          <w:szCs w:val="24"/>
          <w:lang w:val="sq-AL"/>
        </w:rPr>
      </w:pPr>
      <w:r w:rsidRPr="00072D6D">
        <w:rPr>
          <w:b/>
          <w:sz w:val="24"/>
          <w:szCs w:val="24"/>
          <w:lang w:val="sq-AL"/>
        </w:rPr>
        <w:t>Institucioni vendas</w:t>
      </w:r>
      <w:r w:rsidRPr="00072D6D">
        <w:rPr>
          <w:sz w:val="24"/>
          <w:szCs w:val="24"/>
          <w:lang w:val="sq-AL"/>
        </w:rPr>
        <w:t xml:space="preserve"> është një institucion i arsimit të lartë në të c</w:t>
      </w:r>
      <w:r>
        <w:rPr>
          <w:sz w:val="24"/>
          <w:szCs w:val="24"/>
          <w:lang w:val="sq-AL"/>
        </w:rPr>
        <w:t>ilin studenti është regjistruar;</w:t>
      </w:r>
    </w:p>
    <w:p w:rsidR="00072D6D" w:rsidRDefault="00072D6D" w:rsidP="00072D6D">
      <w:pPr>
        <w:pStyle w:val="BodyText"/>
        <w:numPr>
          <w:ilvl w:val="0"/>
          <w:numId w:val="13"/>
        </w:numPr>
        <w:spacing w:before="52" w:line="276" w:lineRule="auto"/>
        <w:ind w:left="360"/>
        <w:jc w:val="both"/>
        <w:rPr>
          <w:sz w:val="24"/>
          <w:szCs w:val="24"/>
          <w:lang w:val="sq-AL"/>
        </w:rPr>
      </w:pPr>
      <w:r w:rsidRPr="00072D6D">
        <w:rPr>
          <w:b/>
          <w:sz w:val="24"/>
          <w:szCs w:val="24"/>
          <w:lang w:val="sq-AL"/>
        </w:rPr>
        <w:t>Institucioni nikoqir</w:t>
      </w:r>
      <w:r w:rsidRPr="00072D6D">
        <w:rPr>
          <w:sz w:val="24"/>
          <w:szCs w:val="24"/>
          <w:lang w:val="sq-AL"/>
        </w:rPr>
        <w:t xml:space="preserve"> është një institucion i arsimit të lartë ku studenti re</w:t>
      </w:r>
      <w:r>
        <w:rPr>
          <w:sz w:val="24"/>
          <w:szCs w:val="24"/>
          <w:lang w:val="sq-AL"/>
        </w:rPr>
        <w:t>alizon lëvizshmëri;</w:t>
      </w:r>
    </w:p>
    <w:p w:rsidR="00072D6D" w:rsidRDefault="00072D6D" w:rsidP="00072D6D">
      <w:pPr>
        <w:pStyle w:val="BodyText"/>
        <w:numPr>
          <w:ilvl w:val="0"/>
          <w:numId w:val="13"/>
        </w:numPr>
        <w:spacing w:before="52" w:line="276" w:lineRule="auto"/>
        <w:ind w:left="360"/>
        <w:jc w:val="both"/>
        <w:rPr>
          <w:sz w:val="24"/>
          <w:szCs w:val="24"/>
          <w:lang w:val="sq-AL"/>
        </w:rPr>
      </w:pPr>
      <w:r w:rsidRPr="00072D6D">
        <w:rPr>
          <w:b/>
          <w:sz w:val="24"/>
          <w:szCs w:val="24"/>
          <w:lang w:val="sq-AL"/>
        </w:rPr>
        <w:t>Institucioni partner</w:t>
      </w:r>
      <w:r w:rsidRPr="00072D6D">
        <w:rPr>
          <w:sz w:val="24"/>
          <w:szCs w:val="24"/>
          <w:lang w:val="sq-AL"/>
        </w:rPr>
        <w:t xml:space="preserve"> është një institucion i arsimit të lartë me të cilin </w:t>
      </w:r>
      <w:r>
        <w:rPr>
          <w:sz w:val="24"/>
          <w:szCs w:val="24"/>
          <w:lang w:val="sq-AL"/>
        </w:rPr>
        <w:t>Kolegji GLOBUS</w:t>
      </w:r>
      <w:r w:rsidRPr="00072D6D">
        <w:rPr>
          <w:sz w:val="24"/>
          <w:szCs w:val="24"/>
          <w:lang w:val="sq-AL"/>
        </w:rPr>
        <w:t xml:space="preserve"> ose një prej njësive të tij ka lidhur një marrëveshje bashkëpunimi ndërkombëtar, si dhe përgjegjësi kontraktuale për realizimin e projekteve të bashkuara që merren me çështje të lëvizjes</w:t>
      </w:r>
      <w:r>
        <w:rPr>
          <w:sz w:val="24"/>
          <w:szCs w:val="24"/>
          <w:lang w:val="sq-AL"/>
        </w:rPr>
        <w:t xml:space="preserve"> s</w:t>
      </w:r>
      <w:r w:rsidR="00CE719D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student</w:t>
      </w:r>
      <w:r w:rsidR="00CE719D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ve;</w:t>
      </w:r>
    </w:p>
    <w:p w:rsidR="00072D6D" w:rsidRDefault="00072D6D" w:rsidP="00E20251">
      <w:pPr>
        <w:pStyle w:val="BodyText"/>
        <w:numPr>
          <w:ilvl w:val="0"/>
          <w:numId w:val="13"/>
        </w:numPr>
        <w:spacing w:before="52" w:line="276" w:lineRule="auto"/>
        <w:ind w:left="360"/>
        <w:jc w:val="both"/>
        <w:rPr>
          <w:sz w:val="24"/>
          <w:szCs w:val="24"/>
          <w:lang w:val="sq-AL"/>
        </w:rPr>
      </w:pPr>
      <w:r w:rsidRPr="00072D6D">
        <w:rPr>
          <w:b/>
          <w:sz w:val="24"/>
          <w:szCs w:val="24"/>
          <w:lang w:val="sq-AL"/>
        </w:rPr>
        <w:t>Student në largim</w:t>
      </w:r>
      <w:r w:rsidRPr="00072D6D">
        <w:rPr>
          <w:sz w:val="24"/>
          <w:szCs w:val="24"/>
          <w:lang w:val="sq-AL"/>
        </w:rPr>
        <w:t xml:space="preserve"> (shkuarje p</w:t>
      </w:r>
      <w:r w:rsidR="00CE719D">
        <w:rPr>
          <w:sz w:val="24"/>
          <w:szCs w:val="24"/>
          <w:lang w:val="sq-AL"/>
        </w:rPr>
        <w:t>ë</w:t>
      </w:r>
      <w:r w:rsidRPr="00072D6D">
        <w:rPr>
          <w:sz w:val="24"/>
          <w:szCs w:val="24"/>
          <w:lang w:val="sq-AL"/>
        </w:rPr>
        <w:t xml:space="preserve">r mobilitet) është secili student i Kolegjit GLOBUS i cili kalon një pjesë të kohës në institucionin mikpritës, dhe me përfundimin e asaj periudhe vazhdon studimin në </w:t>
      </w:r>
      <w:r w:rsidR="00A708EC">
        <w:rPr>
          <w:sz w:val="24"/>
          <w:szCs w:val="24"/>
          <w:lang w:val="sq-AL"/>
        </w:rPr>
        <w:t>Kolegjin GLOBUS;</w:t>
      </w:r>
    </w:p>
    <w:p w:rsidR="00072D6D" w:rsidRDefault="00072D6D" w:rsidP="00072D6D">
      <w:pPr>
        <w:pStyle w:val="BodyText"/>
        <w:numPr>
          <w:ilvl w:val="0"/>
          <w:numId w:val="13"/>
        </w:numPr>
        <w:spacing w:before="52" w:line="276" w:lineRule="auto"/>
        <w:ind w:left="360"/>
        <w:jc w:val="both"/>
        <w:rPr>
          <w:sz w:val="24"/>
          <w:szCs w:val="24"/>
          <w:lang w:val="sq-AL"/>
        </w:rPr>
      </w:pPr>
      <w:r w:rsidRPr="00A708EC">
        <w:rPr>
          <w:b/>
          <w:sz w:val="24"/>
          <w:szCs w:val="24"/>
          <w:lang w:val="sq-AL"/>
        </w:rPr>
        <w:lastRenderedPageBreak/>
        <w:t>Studenti hyrës</w:t>
      </w:r>
      <w:r w:rsidRPr="00A708EC">
        <w:rPr>
          <w:sz w:val="24"/>
          <w:szCs w:val="24"/>
          <w:lang w:val="sq-AL"/>
        </w:rPr>
        <w:t xml:space="preserve"> </w:t>
      </w:r>
      <w:r w:rsidR="00A708EC">
        <w:rPr>
          <w:sz w:val="24"/>
          <w:szCs w:val="24"/>
          <w:lang w:val="sq-AL"/>
        </w:rPr>
        <w:t>(ardhja p</w:t>
      </w:r>
      <w:r w:rsidR="00CE719D">
        <w:rPr>
          <w:sz w:val="24"/>
          <w:szCs w:val="24"/>
          <w:lang w:val="sq-AL"/>
        </w:rPr>
        <w:t>ë</w:t>
      </w:r>
      <w:r w:rsidR="00A708EC">
        <w:rPr>
          <w:sz w:val="24"/>
          <w:szCs w:val="24"/>
          <w:lang w:val="sq-AL"/>
        </w:rPr>
        <w:t xml:space="preserve">r mobilitet) </w:t>
      </w:r>
      <w:r w:rsidRPr="00A708EC">
        <w:rPr>
          <w:sz w:val="24"/>
          <w:szCs w:val="24"/>
          <w:lang w:val="sq-AL"/>
        </w:rPr>
        <w:t xml:space="preserve">është një student i cili kalon një pjesë të studimit në </w:t>
      </w:r>
      <w:r w:rsidR="00A708EC">
        <w:rPr>
          <w:sz w:val="24"/>
          <w:szCs w:val="24"/>
          <w:lang w:val="sq-AL"/>
        </w:rPr>
        <w:t>Kolegjin GLOBUS si një institucion pritës;</w:t>
      </w:r>
    </w:p>
    <w:p w:rsidR="00072D6D" w:rsidRDefault="00072D6D" w:rsidP="008747FD">
      <w:pPr>
        <w:pStyle w:val="BodyText"/>
        <w:numPr>
          <w:ilvl w:val="0"/>
          <w:numId w:val="13"/>
        </w:numPr>
        <w:spacing w:before="52" w:line="276" w:lineRule="auto"/>
        <w:ind w:left="360"/>
        <w:jc w:val="both"/>
        <w:rPr>
          <w:sz w:val="24"/>
          <w:szCs w:val="24"/>
          <w:lang w:val="sq-AL"/>
        </w:rPr>
      </w:pPr>
      <w:r w:rsidRPr="00A708EC">
        <w:rPr>
          <w:b/>
          <w:sz w:val="24"/>
          <w:szCs w:val="24"/>
          <w:lang w:val="sq-AL"/>
        </w:rPr>
        <w:t>Marrëveshjet institucionale</w:t>
      </w:r>
      <w:r w:rsidRPr="00A708EC">
        <w:rPr>
          <w:sz w:val="24"/>
          <w:szCs w:val="24"/>
          <w:lang w:val="sq-AL"/>
        </w:rPr>
        <w:t xml:space="preserve"> janë marrëveshje, projekte dhe programe në lidhje me bashkëpunimin ndërkombëtar të cilat janë përfunduar ose marrin pjesë nga </w:t>
      </w:r>
      <w:r w:rsidR="00A708EC" w:rsidRPr="00A708EC">
        <w:rPr>
          <w:sz w:val="24"/>
          <w:szCs w:val="24"/>
          <w:lang w:val="sq-AL"/>
        </w:rPr>
        <w:t>Kolegji GLOBUS</w:t>
      </w:r>
      <w:r w:rsidRPr="00A708EC">
        <w:rPr>
          <w:sz w:val="24"/>
          <w:szCs w:val="24"/>
          <w:lang w:val="sq-AL"/>
        </w:rPr>
        <w:t xml:space="preserve"> në njërën anë, dhe</w:t>
      </w:r>
      <w:r w:rsidR="00A708EC" w:rsidRPr="00A708EC">
        <w:rPr>
          <w:sz w:val="24"/>
          <w:szCs w:val="24"/>
          <w:lang w:val="sq-AL"/>
        </w:rPr>
        <w:t xml:space="preserve"> </w:t>
      </w:r>
      <w:r w:rsidRPr="00A708EC">
        <w:rPr>
          <w:sz w:val="24"/>
          <w:szCs w:val="24"/>
          <w:lang w:val="sq-AL"/>
        </w:rPr>
        <w:t>institucioni partner në anën tjetër. Marrëveshja institucionale rregullon të drejtat dhe përgjegjësitë e ndërsjella të institucioneve të arsimit të lartë në lidhje me sigurimin e kushteve të studimit dhe që</w:t>
      </w:r>
      <w:r w:rsidR="00A708EC">
        <w:rPr>
          <w:sz w:val="24"/>
          <w:szCs w:val="24"/>
          <w:lang w:val="sq-AL"/>
        </w:rPr>
        <w:t>ndrimin e studentit të ardhshëm;</w:t>
      </w:r>
    </w:p>
    <w:p w:rsidR="00072D6D" w:rsidRDefault="00072D6D" w:rsidP="00A708EC">
      <w:pPr>
        <w:pStyle w:val="BodyText"/>
        <w:numPr>
          <w:ilvl w:val="0"/>
          <w:numId w:val="13"/>
        </w:numPr>
        <w:spacing w:before="52" w:line="276" w:lineRule="auto"/>
        <w:ind w:left="360"/>
        <w:jc w:val="both"/>
        <w:rPr>
          <w:sz w:val="24"/>
          <w:szCs w:val="24"/>
          <w:lang w:val="sq-AL"/>
        </w:rPr>
      </w:pPr>
      <w:r w:rsidRPr="00A708EC">
        <w:rPr>
          <w:b/>
          <w:sz w:val="24"/>
          <w:szCs w:val="24"/>
          <w:lang w:val="sq-AL"/>
        </w:rPr>
        <w:t>Marrëveshja e të mësuarit</w:t>
      </w:r>
      <w:r w:rsidRPr="00A708EC">
        <w:rPr>
          <w:sz w:val="24"/>
          <w:szCs w:val="24"/>
          <w:lang w:val="sq-AL"/>
        </w:rPr>
        <w:t xml:space="preserve"> (</w:t>
      </w:r>
      <w:r w:rsidR="00A708EC" w:rsidRPr="00A708EC">
        <w:rPr>
          <w:sz w:val="24"/>
          <w:szCs w:val="24"/>
          <w:lang w:val="sq-AL"/>
        </w:rPr>
        <w:t>Learning Agreement</w:t>
      </w:r>
      <w:r w:rsidR="00A708EC" w:rsidRPr="00A708EC">
        <w:t xml:space="preserve"> </w:t>
      </w:r>
      <w:r w:rsidR="00A708EC" w:rsidRPr="00A708EC">
        <w:rPr>
          <w:sz w:val="24"/>
          <w:szCs w:val="24"/>
          <w:lang w:val="sq-AL"/>
        </w:rPr>
        <w:t>Learning</w:t>
      </w:r>
      <w:r w:rsidRPr="00A708EC">
        <w:rPr>
          <w:sz w:val="24"/>
          <w:szCs w:val="24"/>
          <w:lang w:val="sq-AL"/>
        </w:rPr>
        <w:t>) është një marrëveshje e cila rregullon lëvizjen e studentëve dhe lidhet me secilin student dhe përfshin</w:t>
      </w:r>
      <w:r w:rsidR="00A708EC" w:rsidRPr="00A708EC">
        <w:rPr>
          <w:sz w:val="24"/>
          <w:szCs w:val="24"/>
          <w:lang w:val="sq-AL"/>
        </w:rPr>
        <w:t>ë</w:t>
      </w:r>
      <w:r w:rsidRPr="00A708EC">
        <w:rPr>
          <w:sz w:val="24"/>
          <w:szCs w:val="24"/>
          <w:lang w:val="sq-AL"/>
        </w:rPr>
        <w:t xml:space="preserve"> programin e studimit në institucionin pritës gjatë lëvizjes. Marrëveshja mund të lidhet bazuar në Institucionale</w:t>
      </w:r>
      <w:r w:rsidR="00A708EC" w:rsidRPr="00A708EC">
        <w:rPr>
          <w:sz w:val="24"/>
          <w:szCs w:val="24"/>
          <w:lang w:val="sq-AL"/>
        </w:rPr>
        <w:t xml:space="preserve"> </w:t>
      </w:r>
      <w:r w:rsidRPr="00A708EC">
        <w:rPr>
          <w:sz w:val="24"/>
          <w:szCs w:val="24"/>
          <w:lang w:val="sq-AL"/>
        </w:rPr>
        <w:t>marrë</w:t>
      </w:r>
      <w:r w:rsidR="00A708EC">
        <w:rPr>
          <w:sz w:val="24"/>
          <w:szCs w:val="24"/>
          <w:lang w:val="sq-AL"/>
        </w:rPr>
        <w:t>veshje ose në mënyrë të pavarur;</w:t>
      </w:r>
    </w:p>
    <w:p w:rsidR="00072D6D" w:rsidRDefault="00072D6D" w:rsidP="009020C6">
      <w:pPr>
        <w:pStyle w:val="BodyText"/>
        <w:numPr>
          <w:ilvl w:val="0"/>
          <w:numId w:val="13"/>
        </w:numPr>
        <w:spacing w:before="52" w:line="276" w:lineRule="auto"/>
        <w:ind w:left="360"/>
        <w:jc w:val="both"/>
        <w:rPr>
          <w:sz w:val="24"/>
          <w:szCs w:val="24"/>
          <w:lang w:val="sq-AL"/>
        </w:rPr>
      </w:pPr>
      <w:r w:rsidRPr="00A708EC">
        <w:rPr>
          <w:b/>
          <w:sz w:val="24"/>
          <w:szCs w:val="24"/>
          <w:lang w:val="sq-AL"/>
        </w:rPr>
        <w:t>Transkripti i Regjistrave</w:t>
      </w:r>
      <w:r w:rsidRPr="00A708EC">
        <w:rPr>
          <w:sz w:val="24"/>
          <w:szCs w:val="24"/>
          <w:lang w:val="sq-AL"/>
        </w:rPr>
        <w:t xml:space="preserve"> lëshohet dy herë për studentët e mobilitetit. Herën e parë dokumenti lë</w:t>
      </w:r>
      <w:r w:rsidR="00A708EC" w:rsidRPr="00A708EC">
        <w:rPr>
          <w:sz w:val="24"/>
          <w:szCs w:val="24"/>
          <w:lang w:val="sq-AL"/>
        </w:rPr>
        <w:t>shohet nga institucioni dërgues</w:t>
      </w:r>
      <w:r w:rsidRPr="00A708EC">
        <w:rPr>
          <w:sz w:val="24"/>
          <w:szCs w:val="24"/>
          <w:lang w:val="sq-AL"/>
        </w:rPr>
        <w:t>/vendas dhe u dërgohet institucioneve pritëse/ pritëse. Dokumenti për herë të dytë lëshohet nga institucioni pritës me përfundimin e periudhës së studimit dhe atë</w:t>
      </w:r>
      <w:r w:rsidR="00A708EC" w:rsidRPr="00A708EC">
        <w:rPr>
          <w:sz w:val="24"/>
          <w:szCs w:val="24"/>
          <w:lang w:val="sq-AL"/>
        </w:rPr>
        <w:t xml:space="preserve"> </w:t>
      </w:r>
      <w:r w:rsidRPr="00A708EC">
        <w:rPr>
          <w:sz w:val="24"/>
          <w:szCs w:val="24"/>
          <w:lang w:val="sq-AL"/>
        </w:rPr>
        <w:t>e dërgon atë në institucionin amë. Transkripti i Regjistrimeve ofron të dhëna në lidhje me rezultatet e a</w:t>
      </w:r>
      <w:r w:rsidR="00A708EC">
        <w:rPr>
          <w:sz w:val="24"/>
          <w:szCs w:val="24"/>
          <w:lang w:val="sq-AL"/>
        </w:rPr>
        <w:t>rritura të studentit (me kreditë</w:t>
      </w:r>
      <w:r w:rsidRPr="00A708EC">
        <w:rPr>
          <w:sz w:val="24"/>
          <w:szCs w:val="24"/>
          <w:lang w:val="sq-AL"/>
        </w:rPr>
        <w:t xml:space="preserve"> ECTS ose sistem tjetër pikë për secilën lëndë, si dhe notën në sistemin e duhur të vlerësimit). Transkriptimi i Regjistrave ka fuqinë ligjore të një dokumenti publik dhe duhet të jetë në </w:t>
      </w:r>
      <w:r w:rsidR="00A708EC">
        <w:rPr>
          <w:sz w:val="24"/>
          <w:szCs w:val="24"/>
          <w:lang w:val="sq-AL"/>
        </w:rPr>
        <w:t xml:space="preserve">Gjuhën </w:t>
      </w:r>
      <w:r w:rsidRPr="00A708EC">
        <w:rPr>
          <w:sz w:val="24"/>
          <w:szCs w:val="24"/>
          <w:lang w:val="sq-AL"/>
        </w:rPr>
        <w:t>Angl</w:t>
      </w:r>
      <w:r w:rsidR="00A708EC">
        <w:rPr>
          <w:sz w:val="24"/>
          <w:szCs w:val="24"/>
          <w:lang w:val="sq-AL"/>
        </w:rPr>
        <w:t>eze;</w:t>
      </w:r>
    </w:p>
    <w:p w:rsidR="00072D6D" w:rsidRDefault="00072D6D" w:rsidP="00072D6D">
      <w:pPr>
        <w:pStyle w:val="BodyText"/>
        <w:numPr>
          <w:ilvl w:val="0"/>
          <w:numId w:val="13"/>
        </w:numPr>
        <w:spacing w:before="52" w:line="276" w:lineRule="auto"/>
        <w:ind w:left="360"/>
        <w:jc w:val="both"/>
        <w:rPr>
          <w:sz w:val="24"/>
          <w:szCs w:val="24"/>
          <w:lang w:val="sq-AL"/>
        </w:rPr>
      </w:pPr>
      <w:r w:rsidRPr="00A708EC">
        <w:rPr>
          <w:b/>
          <w:sz w:val="24"/>
          <w:szCs w:val="24"/>
          <w:lang w:val="sq-AL"/>
        </w:rPr>
        <w:t>Rezultatet e të nxënit</w:t>
      </w:r>
      <w:r w:rsidRPr="00A708EC">
        <w:rPr>
          <w:sz w:val="24"/>
          <w:szCs w:val="24"/>
          <w:lang w:val="sq-AL"/>
        </w:rPr>
        <w:t xml:space="preserve"> janë deklarata të cilat përcaktojnë se çfarë duhet të dijë, kuptojë dhe çfarë është i aftë të arrijë studenti në fund të një periudhe të caktuar studimi, dhe ato përcaktohen përmes njohu</w:t>
      </w:r>
      <w:r w:rsidR="00A708EC">
        <w:rPr>
          <w:sz w:val="24"/>
          <w:szCs w:val="24"/>
          <w:lang w:val="sq-AL"/>
        </w:rPr>
        <w:t>rive, aftësive dhe kompetencave;</w:t>
      </w:r>
    </w:p>
    <w:p w:rsidR="00072D6D" w:rsidRPr="00A708EC" w:rsidRDefault="00072D6D" w:rsidP="00072D6D">
      <w:pPr>
        <w:pStyle w:val="BodyText"/>
        <w:numPr>
          <w:ilvl w:val="0"/>
          <w:numId w:val="13"/>
        </w:numPr>
        <w:spacing w:before="52" w:line="276" w:lineRule="auto"/>
        <w:ind w:left="360"/>
        <w:jc w:val="both"/>
        <w:rPr>
          <w:sz w:val="24"/>
          <w:szCs w:val="24"/>
          <w:lang w:val="sq-AL"/>
        </w:rPr>
      </w:pPr>
      <w:r w:rsidRPr="00A708EC">
        <w:rPr>
          <w:b/>
          <w:sz w:val="24"/>
          <w:szCs w:val="24"/>
          <w:lang w:val="sq-AL"/>
        </w:rPr>
        <w:t>Paketa e informacionit</w:t>
      </w:r>
      <w:r w:rsidRPr="00A708EC">
        <w:rPr>
          <w:sz w:val="24"/>
          <w:szCs w:val="24"/>
          <w:lang w:val="sq-AL"/>
        </w:rPr>
        <w:t xml:space="preserve"> është një grup informacioni që u ofron studentëve të dhëna për </w:t>
      </w:r>
      <w:r w:rsidR="00A708EC">
        <w:rPr>
          <w:sz w:val="24"/>
          <w:szCs w:val="24"/>
          <w:lang w:val="sq-AL"/>
        </w:rPr>
        <w:t>Kolegjin/</w:t>
      </w:r>
      <w:r w:rsidRPr="00A708EC">
        <w:rPr>
          <w:sz w:val="24"/>
          <w:szCs w:val="24"/>
          <w:lang w:val="sq-AL"/>
        </w:rPr>
        <w:t xml:space="preserve">Universitetin, njësitë, programet e studimit dhe kushtet e realizimit, kushtet e jetesës (akomodimi, ushqimi, sigurimi dhe kujdesi shëndetësor) </w:t>
      </w:r>
      <w:r w:rsidR="00A708EC">
        <w:rPr>
          <w:sz w:val="24"/>
          <w:szCs w:val="24"/>
          <w:lang w:val="sq-AL"/>
        </w:rPr>
        <w:t xml:space="preserve">si </w:t>
      </w:r>
      <w:r w:rsidRPr="00A708EC">
        <w:rPr>
          <w:sz w:val="24"/>
          <w:szCs w:val="24"/>
          <w:lang w:val="sq-AL"/>
        </w:rPr>
        <w:t>dhe përmbajtje tjetër shtesë.</w:t>
      </w:r>
    </w:p>
    <w:p w:rsidR="00D45A2D" w:rsidRDefault="00D45A2D" w:rsidP="00D45A2D">
      <w:pPr>
        <w:pStyle w:val="BodyText"/>
        <w:spacing w:before="52" w:line="276" w:lineRule="auto"/>
        <w:ind w:firstLine="5"/>
        <w:jc w:val="both"/>
        <w:rPr>
          <w:color w:val="2D2B2D"/>
          <w:lang w:val="sq-AL"/>
        </w:rPr>
      </w:pPr>
    </w:p>
    <w:p w:rsidR="00236356" w:rsidRPr="00236356" w:rsidRDefault="00236356" w:rsidP="00236356">
      <w:pPr>
        <w:pStyle w:val="Heading1"/>
        <w:jc w:val="center"/>
        <w:rPr>
          <w:rFonts w:ascii="Times New Roman" w:hAnsi="Times New Roman" w:cs="Times New Roman"/>
          <w:b/>
        </w:rPr>
      </w:pPr>
      <w:bookmarkStart w:id="4" w:name="_Toc59121443"/>
      <w:r w:rsidRPr="00236356">
        <w:rPr>
          <w:rFonts w:ascii="Times New Roman" w:hAnsi="Times New Roman" w:cs="Times New Roman"/>
          <w:b/>
        </w:rPr>
        <w:t>DETYRIMET E KOLEGJIT – NJËSISË</w:t>
      </w:r>
      <w:bookmarkEnd w:id="4"/>
    </w:p>
    <w:p w:rsidR="00301897" w:rsidRPr="00355D03" w:rsidRDefault="00236356" w:rsidP="00355D03">
      <w:pPr>
        <w:pStyle w:val="Heading1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2D2B2D"/>
          <w:sz w:val="28"/>
          <w:szCs w:val="28"/>
        </w:rPr>
      </w:pPr>
      <w:bookmarkStart w:id="5" w:name="_Toc59121444"/>
      <w:r w:rsidRPr="00355D03">
        <w:rPr>
          <w:rFonts w:ascii="Times New Roman" w:hAnsi="Times New Roman" w:cs="Times New Roman"/>
          <w:b/>
          <w:sz w:val="28"/>
          <w:szCs w:val="28"/>
        </w:rPr>
        <w:t>D</w:t>
      </w:r>
      <w:r w:rsidR="00301897" w:rsidRPr="00355D03">
        <w:rPr>
          <w:rFonts w:ascii="Times New Roman" w:hAnsi="Times New Roman" w:cs="Times New Roman"/>
          <w:b/>
          <w:sz w:val="28"/>
          <w:szCs w:val="28"/>
        </w:rPr>
        <w:t xml:space="preserve">etyrimet e </w:t>
      </w:r>
      <w:r w:rsidRPr="00355D03">
        <w:rPr>
          <w:rFonts w:ascii="Times New Roman" w:hAnsi="Times New Roman" w:cs="Times New Roman"/>
          <w:b/>
          <w:sz w:val="28"/>
          <w:szCs w:val="28"/>
        </w:rPr>
        <w:t>Kolegjit apo Njësisë</w:t>
      </w:r>
      <w:r w:rsidR="00301897" w:rsidRPr="00355D03">
        <w:rPr>
          <w:rFonts w:ascii="Times New Roman" w:hAnsi="Times New Roman" w:cs="Times New Roman"/>
          <w:b/>
          <w:sz w:val="28"/>
          <w:szCs w:val="28"/>
        </w:rPr>
        <w:t xml:space="preserve"> Akademike ndaj </w:t>
      </w:r>
      <w:r w:rsidRPr="00355D03">
        <w:rPr>
          <w:rFonts w:ascii="Times New Roman" w:hAnsi="Times New Roman" w:cs="Times New Roman"/>
          <w:b/>
          <w:sz w:val="28"/>
          <w:szCs w:val="28"/>
        </w:rPr>
        <w:t>S</w:t>
      </w:r>
      <w:r w:rsidR="00301897" w:rsidRPr="00355D03">
        <w:rPr>
          <w:rFonts w:ascii="Times New Roman" w:hAnsi="Times New Roman" w:cs="Times New Roman"/>
          <w:b/>
          <w:sz w:val="28"/>
          <w:szCs w:val="28"/>
        </w:rPr>
        <w:t>tudentit</w:t>
      </w:r>
      <w:bookmarkEnd w:id="5"/>
    </w:p>
    <w:p w:rsidR="00301897" w:rsidRDefault="00236356" w:rsidP="00236356">
      <w:pPr>
        <w:pStyle w:val="BodyText"/>
        <w:spacing w:before="52" w:line="290" w:lineRule="auto"/>
        <w:ind w:left="1267" w:right="1238" w:firstLine="5"/>
        <w:jc w:val="center"/>
        <w:rPr>
          <w:b/>
          <w:color w:val="2D2B2D"/>
          <w:sz w:val="24"/>
          <w:szCs w:val="24"/>
          <w:lang w:val="sq-AL"/>
        </w:rPr>
      </w:pPr>
      <w:r>
        <w:rPr>
          <w:b/>
          <w:color w:val="2D2B2D"/>
          <w:sz w:val="24"/>
          <w:szCs w:val="24"/>
          <w:lang w:val="sq-AL"/>
        </w:rPr>
        <w:t>Neni 4</w:t>
      </w:r>
    </w:p>
    <w:p w:rsidR="0076087D" w:rsidRPr="0076087D" w:rsidRDefault="0076087D" w:rsidP="0076087D">
      <w:pPr>
        <w:pStyle w:val="BodyText"/>
      </w:pPr>
    </w:p>
    <w:p w:rsidR="00236356" w:rsidRPr="00236356" w:rsidRDefault="00236356" w:rsidP="0023635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47" w:after="0"/>
        <w:ind w:left="360" w:hanging="3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6356">
        <w:rPr>
          <w:rFonts w:ascii="Times New Roman" w:hAnsi="Times New Roman" w:cs="Times New Roman"/>
          <w:w w:val="105"/>
          <w:sz w:val="24"/>
          <w:szCs w:val="24"/>
        </w:rPr>
        <w:t xml:space="preserve">Kolegji apo </w:t>
      </w:r>
      <w:r w:rsidR="00301897" w:rsidRPr="00236356">
        <w:rPr>
          <w:rFonts w:ascii="Times New Roman" w:hAnsi="Times New Roman" w:cs="Times New Roman"/>
          <w:w w:val="105"/>
          <w:sz w:val="24"/>
          <w:szCs w:val="24"/>
        </w:rPr>
        <w:t xml:space="preserve">Njësia Akademike obligohet të bëjë shqyrtimin e dokumenteve të studentëve, të cilat i nënshtrohen procesit të aplikimit për mobilitet. </w:t>
      </w:r>
      <w:r w:rsidRPr="00236356">
        <w:rPr>
          <w:rFonts w:ascii="Times New Roman" w:hAnsi="Times New Roman" w:cs="Times New Roman"/>
          <w:w w:val="105"/>
          <w:sz w:val="24"/>
          <w:szCs w:val="24"/>
        </w:rPr>
        <w:t xml:space="preserve">Kolegji apo </w:t>
      </w:r>
      <w:r w:rsidR="00301897" w:rsidRPr="00236356">
        <w:rPr>
          <w:rFonts w:ascii="Times New Roman" w:hAnsi="Times New Roman" w:cs="Times New Roman"/>
          <w:w w:val="105"/>
          <w:sz w:val="24"/>
          <w:szCs w:val="24"/>
        </w:rPr>
        <w:t>Njësia Akademike duhet të kërkoj nga studenti q</w:t>
      </w:r>
      <w:r w:rsidR="00082FD5" w:rsidRPr="00236356">
        <w:rPr>
          <w:rFonts w:ascii="Times New Roman" w:hAnsi="Times New Roman" w:cs="Times New Roman"/>
          <w:w w:val="105"/>
          <w:sz w:val="24"/>
          <w:szCs w:val="24"/>
        </w:rPr>
        <w:t>ë</w:t>
      </w:r>
      <w:r w:rsidR="00301897" w:rsidRPr="00236356">
        <w:rPr>
          <w:rFonts w:ascii="Times New Roman" w:hAnsi="Times New Roman" w:cs="Times New Roman"/>
          <w:w w:val="105"/>
          <w:sz w:val="24"/>
          <w:szCs w:val="24"/>
        </w:rPr>
        <w:t xml:space="preserve"> t</w:t>
      </w:r>
      <w:r w:rsidR="00082FD5" w:rsidRPr="00236356">
        <w:rPr>
          <w:rFonts w:ascii="Times New Roman" w:hAnsi="Times New Roman" w:cs="Times New Roman"/>
          <w:w w:val="105"/>
          <w:sz w:val="24"/>
          <w:szCs w:val="24"/>
        </w:rPr>
        <w:t>ë</w:t>
      </w:r>
      <w:r w:rsidR="00301897" w:rsidRPr="00236356">
        <w:rPr>
          <w:rFonts w:ascii="Times New Roman" w:hAnsi="Times New Roman" w:cs="Times New Roman"/>
          <w:w w:val="105"/>
          <w:sz w:val="24"/>
          <w:szCs w:val="24"/>
        </w:rPr>
        <w:t xml:space="preserve"> siguroj</w:t>
      </w:r>
      <w:r w:rsidR="00082FD5" w:rsidRPr="00236356">
        <w:rPr>
          <w:rFonts w:ascii="Times New Roman" w:hAnsi="Times New Roman" w:cs="Times New Roman"/>
          <w:w w:val="105"/>
          <w:sz w:val="24"/>
          <w:szCs w:val="24"/>
        </w:rPr>
        <w:t>ë</w:t>
      </w:r>
      <w:r w:rsidR="00301897" w:rsidRPr="00236356">
        <w:rPr>
          <w:rFonts w:ascii="Times New Roman" w:hAnsi="Times New Roman" w:cs="Times New Roman"/>
          <w:w w:val="105"/>
          <w:sz w:val="24"/>
          <w:szCs w:val="24"/>
        </w:rPr>
        <w:t xml:space="preserve"> t</w:t>
      </w:r>
      <w:r w:rsidR="00082FD5" w:rsidRPr="00236356">
        <w:rPr>
          <w:rFonts w:ascii="Times New Roman" w:hAnsi="Times New Roman" w:cs="Times New Roman"/>
          <w:w w:val="105"/>
          <w:sz w:val="24"/>
          <w:szCs w:val="24"/>
        </w:rPr>
        <w:t>ë</w:t>
      </w:r>
      <w:r w:rsidR="00301897" w:rsidRPr="00236356">
        <w:rPr>
          <w:rFonts w:ascii="Times New Roman" w:hAnsi="Times New Roman" w:cs="Times New Roman"/>
          <w:w w:val="105"/>
          <w:sz w:val="24"/>
          <w:szCs w:val="24"/>
        </w:rPr>
        <w:t xml:space="preserve"> dh</w:t>
      </w:r>
      <w:r w:rsidR="00082FD5" w:rsidRPr="00236356">
        <w:rPr>
          <w:rFonts w:ascii="Times New Roman" w:hAnsi="Times New Roman" w:cs="Times New Roman"/>
          <w:w w:val="105"/>
          <w:sz w:val="24"/>
          <w:szCs w:val="24"/>
        </w:rPr>
        <w:t>ë</w:t>
      </w:r>
      <w:r w:rsidR="00301897" w:rsidRPr="00236356">
        <w:rPr>
          <w:rFonts w:ascii="Times New Roman" w:hAnsi="Times New Roman" w:cs="Times New Roman"/>
          <w:w w:val="105"/>
          <w:sz w:val="24"/>
          <w:szCs w:val="24"/>
        </w:rPr>
        <w:t>nat dhe deshmit</w:t>
      </w:r>
      <w:r w:rsidR="00082FD5" w:rsidRPr="00236356">
        <w:rPr>
          <w:rFonts w:ascii="Times New Roman" w:hAnsi="Times New Roman" w:cs="Times New Roman"/>
          <w:w w:val="105"/>
          <w:sz w:val="24"/>
          <w:szCs w:val="24"/>
        </w:rPr>
        <w:t>ë</w:t>
      </w:r>
      <w:r w:rsidR="00301897" w:rsidRPr="00236356">
        <w:rPr>
          <w:rFonts w:ascii="Times New Roman" w:hAnsi="Times New Roman" w:cs="Times New Roman"/>
          <w:w w:val="105"/>
          <w:sz w:val="24"/>
          <w:szCs w:val="24"/>
        </w:rPr>
        <w:t xml:space="preserve"> e nevojshme, si</w:t>
      </w:r>
      <w:r w:rsidRPr="00236356">
        <w:rPr>
          <w:rFonts w:ascii="Times New Roman" w:hAnsi="Times New Roman" w:cs="Times New Roman"/>
          <w:w w:val="105"/>
          <w:sz w:val="24"/>
          <w:szCs w:val="24"/>
        </w:rPr>
        <w:t>ç</w:t>
      </w:r>
      <w:r w:rsidR="00301897" w:rsidRPr="00236356">
        <w:rPr>
          <w:rFonts w:ascii="Times New Roman" w:hAnsi="Times New Roman" w:cs="Times New Roman"/>
          <w:w w:val="105"/>
          <w:sz w:val="24"/>
          <w:szCs w:val="24"/>
        </w:rPr>
        <w:t>;</w:t>
      </w:r>
      <w:r w:rsidR="00301897" w:rsidRPr="00236356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301897" w:rsidRPr="00236356">
        <w:rPr>
          <w:rFonts w:ascii="Times New Roman" w:hAnsi="Times New Roman" w:cs="Times New Roman"/>
          <w:w w:val="105"/>
          <w:sz w:val="24"/>
          <w:szCs w:val="24"/>
        </w:rPr>
        <w:t>jan</w:t>
      </w:r>
      <w:r w:rsidR="00082FD5" w:rsidRPr="00236356">
        <w:rPr>
          <w:rFonts w:ascii="Times New Roman" w:hAnsi="Times New Roman" w:cs="Times New Roman"/>
          <w:w w:val="105"/>
          <w:sz w:val="24"/>
          <w:szCs w:val="24"/>
        </w:rPr>
        <w:t>ë</w:t>
      </w:r>
      <w:r w:rsidR="00301897" w:rsidRPr="00236356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236356" w:rsidRPr="00236356" w:rsidRDefault="00236356" w:rsidP="00236356">
      <w:pPr>
        <w:pStyle w:val="ListParagraph"/>
        <w:widowControl w:val="0"/>
        <w:autoSpaceDE w:val="0"/>
        <w:autoSpaceDN w:val="0"/>
        <w:spacing w:before="47" w:after="0"/>
        <w:ind w:left="36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6356" w:rsidRPr="00236356" w:rsidRDefault="00236356" w:rsidP="00236356">
      <w:pPr>
        <w:pStyle w:val="ListParagraph"/>
        <w:widowControl w:val="0"/>
        <w:numPr>
          <w:ilvl w:val="3"/>
          <w:numId w:val="15"/>
        </w:numPr>
        <w:tabs>
          <w:tab w:val="left" w:pos="2163"/>
        </w:tabs>
        <w:autoSpaceDE w:val="0"/>
        <w:autoSpaceDN w:val="0"/>
        <w:spacing w:before="0"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236356">
        <w:rPr>
          <w:rFonts w:ascii="Times New Roman" w:hAnsi="Times New Roman" w:cs="Times New Roman"/>
          <w:w w:val="105"/>
          <w:sz w:val="24"/>
          <w:szCs w:val="24"/>
        </w:rPr>
        <w:t>Listën e lëndëve që planifikon studenti t'i ndjek gjatë programit të mobilitetit në Kolegjin apo Universitetin pritës,</w:t>
      </w:r>
      <w:r w:rsidRPr="00236356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236356">
        <w:rPr>
          <w:rFonts w:ascii="Times New Roman" w:hAnsi="Times New Roman" w:cs="Times New Roman"/>
          <w:w w:val="105"/>
          <w:sz w:val="24"/>
          <w:szCs w:val="24"/>
        </w:rPr>
        <w:t>dhe</w:t>
      </w:r>
    </w:p>
    <w:p w:rsidR="00236356" w:rsidRPr="00236356" w:rsidRDefault="00236356" w:rsidP="00236356">
      <w:pPr>
        <w:pStyle w:val="ListParagraph"/>
        <w:widowControl w:val="0"/>
        <w:numPr>
          <w:ilvl w:val="3"/>
          <w:numId w:val="15"/>
        </w:numPr>
        <w:tabs>
          <w:tab w:val="left" w:pos="2163"/>
        </w:tabs>
        <w:autoSpaceDE w:val="0"/>
        <w:autoSpaceDN w:val="0"/>
        <w:spacing w:before="0"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236356">
        <w:rPr>
          <w:rFonts w:ascii="Times New Roman" w:hAnsi="Times New Roman" w:cs="Times New Roman"/>
          <w:w w:val="105"/>
          <w:sz w:val="24"/>
          <w:szCs w:val="24"/>
        </w:rPr>
        <w:t>ECTS për secilën lëndë të</w:t>
      </w:r>
      <w:r w:rsidRPr="00236356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236356">
        <w:rPr>
          <w:rFonts w:ascii="Times New Roman" w:hAnsi="Times New Roman" w:cs="Times New Roman"/>
          <w:w w:val="105"/>
          <w:sz w:val="24"/>
          <w:szCs w:val="24"/>
        </w:rPr>
        <w:t>përzgjedhur.</w:t>
      </w:r>
    </w:p>
    <w:p w:rsidR="00236356" w:rsidRPr="00236356" w:rsidRDefault="00236356" w:rsidP="00236356">
      <w:pPr>
        <w:pStyle w:val="ListParagraph"/>
        <w:widowControl w:val="0"/>
        <w:autoSpaceDE w:val="0"/>
        <w:autoSpaceDN w:val="0"/>
        <w:spacing w:before="47" w:after="0"/>
        <w:ind w:left="36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082FD5" w:rsidRPr="00236356" w:rsidRDefault="00236356" w:rsidP="0023635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47" w:after="0"/>
        <w:ind w:left="360" w:hanging="3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6356">
        <w:rPr>
          <w:rFonts w:ascii="Times New Roman" w:hAnsi="Times New Roman" w:cs="Times New Roman"/>
          <w:w w:val="105"/>
          <w:sz w:val="24"/>
          <w:szCs w:val="24"/>
        </w:rPr>
        <w:lastRenderedPageBreak/>
        <w:t>Ta shqyrtoj kërkesën</w:t>
      </w:r>
      <w:r w:rsidR="00082FD5" w:rsidRPr="00236356">
        <w:rPr>
          <w:rFonts w:ascii="Times New Roman" w:hAnsi="Times New Roman" w:cs="Times New Roman"/>
          <w:w w:val="105"/>
          <w:sz w:val="24"/>
          <w:szCs w:val="24"/>
        </w:rPr>
        <w:t xml:space="preserve"> e studentit për ndryshim eventual të lëndëve gjatë realizmit të mobilitetit në Kolegjin</w:t>
      </w:r>
      <w:r>
        <w:rPr>
          <w:rFonts w:ascii="Times New Roman" w:hAnsi="Times New Roman" w:cs="Times New Roman"/>
          <w:w w:val="105"/>
          <w:sz w:val="24"/>
          <w:szCs w:val="24"/>
        </w:rPr>
        <w:t>/Universitetin</w:t>
      </w:r>
      <w:r w:rsidR="00082FD5" w:rsidRPr="00236356">
        <w:rPr>
          <w:rFonts w:ascii="Times New Roman" w:hAnsi="Times New Roman" w:cs="Times New Roman"/>
          <w:w w:val="105"/>
          <w:sz w:val="24"/>
          <w:szCs w:val="24"/>
        </w:rPr>
        <w:t xml:space="preserve"> pritës (në qoftëse ndodh ndryshimi i lëndëve me kërkesën e Kolegjit</w:t>
      </w:r>
      <w:r>
        <w:rPr>
          <w:rFonts w:ascii="Times New Roman" w:hAnsi="Times New Roman" w:cs="Times New Roman"/>
          <w:w w:val="105"/>
          <w:sz w:val="24"/>
          <w:szCs w:val="24"/>
        </w:rPr>
        <w:t>/Universitetit pritës);</w:t>
      </w:r>
    </w:p>
    <w:p w:rsidR="00236356" w:rsidRPr="00236356" w:rsidRDefault="00236356" w:rsidP="0076087D">
      <w:pPr>
        <w:pStyle w:val="BodyText"/>
      </w:pPr>
    </w:p>
    <w:p w:rsidR="00082FD5" w:rsidRPr="00236356" w:rsidRDefault="00236356" w:rsidP="0023635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47" w:after="0"/>
        <w:ind w:left="360" w:hanging="3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Transferin e kredive (</w:t>
      </w:r>
      <w:r w:rsidR="00082FD5" w:rsidRPr="00236356">
        <w:rPr>
          <w:rFonts w:ascii="Times New Roman" w:hAnsi="Times New Roman" w:cs="Times New Roman"/>
          <w:w w:val="105"/>
          <w:sz w:val="24"/>
          <w:szCs w:val="24"/>
        </w:rPr>
        <w:t>ECTS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  <w:r w:rsidR="00082FD5" w:rsidRPr="00236356">
        <w:rPr>
          <w:rFonts w:ascii="Times New Roman" w:hAnsi="Times New Roman" w:cs="Times New Roman"/>
          <w:w w:val="105"/>
          <w:sz w:val="24"/>
          <w:szCs w:val="24"/>
        </w:rPr>
        <w:t xml:space="preserve"> pas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kthimit të studentit në Kolegj</w:t>
      </w:r>
      <w:r w:rsidR="00082FD5" w:rsidRPr="00236356">
        <w:rPr>
          <w:rFonts w:ascii="Times New Roman" w:hAnsi="Times New Roman" w:cs="Times New Roman"/>
          <w:w w:val="105"/>
          <w:sz w:val="24"/>
          <w:szCs w:val="24"/>
        </w:rPr>
        <w:t>, si:</w:t>
      </w:r>
    </w:p>
    <w:p w:rsidR="00082FD5" w:rsidRPr="00236356" w:rsidRDefault="00082FD5" w:rsidP="00236356">
      <w:pPr>
        <w:pStyle w:val="ListParagraph"/>
        <w:widowControl w:val="0"/>
        <w:numPr>
          <w:ilvl w:val="0"/>
          <w:numId w:val="5"/>
        </w:numPr>
        <w:tabs>
          <w:tab w:val="left" w:pos="2163"/>
        </w:tabs>
        <w:autoSpaceDE w:val="0"/>
        <w:autoSpaceDN w:val="0"/>
        <w:spacing w:before="0" w:after="0"/>
        <w:ind w:left="1440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36356">
        <w:rPr>
          <w:rFonts w:ascii="Times New Roman" w:hAnsi="Times New Roman" w:cs="Times New Roman"/>
          <w:w w:val="105"/>
          <w:sz w:val="24"/>
          <w:szCs w:val="24"/>
        </w:rPr>
        <w:t>Transkriptën e notave nga Kolegji</w:t>
      </w:r>
      <w:r w:rsidR="00236356">
        <w:rPr>
          <w:rFonts w:ascii="Times New Roman" w:hAnsi="Times New Roman" w:cs="Times New Roman"/>
          <w:w w:val="105"/>
          <w:sz w:val="24"/>
          <w:szCs w:val="24"/>
        </w:rPr>
        <w:t xml:space="preserve"> apo Universiteti pritës dhe</w:t>
      </w:r>
    </w:p>
    <w:p w:rsidR="00082FD5" w:rsidRPr="00236356" w:rsidRDefault="00082FD5" w:rsidP="00236356">
      <w:pPr>
        <w:pStyle w:val="ListParagraph"/>
        <w:widowControl w:val="0"/>
        <w:numPr>
          <w:ilvl w:val="0"/>
          <w:numId w:val="5"/>
        </w:numPr>
        <w:tabs>
          <w:tab w:val="left" w:pos="2163"/>
        </w:tabs>
        <w:autoSpaceDE w:val="0"/>
        <w:autoSpaceDN w:val="0"/>
        <w:spacing w:before="0" w:after="0"/>
        <w:ind w:left="1440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36356">
        <w:rPr>
          <w:rFonts w:ascii="Times New Roman" w:hAnsi="Times New Roman" w:cs="Times New Roman"/>
          <w:w w:val="105"/>
          <w:sz w:val="24"/>
          <w:szCs w:val="24"/>
        </w:rPr>
        <w:t xml:space="preserve"> Marrëveshjen e mësimit (learning agreement)</w:t>
      </w:r>
    </w:p>
    <w:p w:rsidR="00082FD5" w:rsidRPr="00EF422D" w:rsidRDefault="00082FD5" w:rsidP="00082FD5">
      <w:pPr>
        <w:widowControl w:val="0"/>
        <w:tabs>
          <w:tab w:val="left" w:pos="2163"/>
        </w:tabs>
        <w:autoSpaceDE w:val="0"/>
        <w:autoSpaceDN w:val="0"/>
        <w:spacing w:before="0" w:after="0" w:line="255" w:lineRule="exact"/>
        <w:rPr>
          <w:rFonts w:ascii="Times New Roman" w:hAnsi="Times New Roman" w:cs="Times New Roman"/>
          <w:color w:val="2D2B2D"/>
          <w:w w:val="105"/>
          <w:sz w:val="23"/>
        </w:rPr>
      </w:pPr>
    </w:p>
    <w:p w:rsidR="00236356" w:rsidRDefault="00236356" w:rsidP="00082FD5">
      <w:pPr>
        <w:pStyle w:val="NoSpacing"/>
        <w:rPr>
          <w:rFonts w:ascii="Times New Roman" w:hAnsi="Times New Roman" w:cs="Times New Roman"/>
          <w:b/>
          <w:w w:val="105"/>
        </w:rPr>
      </w:pPr>
    </w:p>
    <w:p w:rsidR="00082FD5" w:rsidRPr="0071105B" w:rsidRDefault="0071105B" w:rsidP="0071105B">
      <w:pPr>
        <w:pStyle w:val="Heading2"/>
        <w:jc w:val="center"/>
        <w:rPr>
          <w:rFonts w:ascii="Times New Roman" w:hAnsi="Times New Roman" w:cs="Times New Roman"/>
          <w:b/>
          <w:w w:val="105"/>
        </w:rPr>
      </w:pPr>
      <w:bookmarkStart w:id="6" w:name="_Toc59121445"/>
      <w:r w:rsidRPr="0071105B">
        <w:rPr>
          <w:rFonts w:ascii="Times New Roman" w:hAnsi="Times New Roman" w:cs="Times New Roman"/>
          <w:b/>
          <w:w w:val="105"/>
        </w:rPr>
        <w:t xml:space="preserve">2.1 </w:t>
      </w:r>
      <w:r>
        <w:rPr>
          <w:rFonts w:ascii="Times New Roman" w:hAnsi="Times New Roman" w:cs="Times New Roman"/>
          <w:b/>
          <w:w w:val="105"/>
        </w:rPr>
        <w:t>Procedurat  para Fillimit të Mobilitetit Akademik të S</w:t>
      </w:r>
      <w:r w:rsidR="00082FD5" w:rsidRPr="0071105B">
        <w:rPr>
          <w:rFonts w:ascii="Times New Roman" w:hAnsi="Times New Roman" w:cs="Times New Roman"/>
          <w:b/>
          <w:w w:val="105"/>
        </w:rPr>
        <w:t>tudentit</w:t>
      </w:r>
      <w:bookmarkEnd w:id="6"/>
    </w:p>
    <w:p w:rsidR="00613ABE" w:rsidRPr="00EF422D" w:rsidRDefault="0071105B" w:rsidP="0071105B">
      <w:pPr>
        <w:pStyle w:val="NoSpacing"/>
        <w:jc w:val="center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>Neni 5</w:t>
      </w:r>
    </w:p>
    <w:p w:rsidR="00AE50F4" w:rsidRPr="00EF422D" w:rsidRDefault="00AE50F4" w:rsidP="00082FD5">
      <w:pPr>
        <w:pStyle w:val="NoSpacing"/>
        <w:rPr>
          <w:rFonts w:ascii="Times New Roman" w:hAnsi="Times New Roman" w:cs="Times New Roman"/>
          <w:b/>
          <w:w w:val="105"/>
        </w:rPr>
      </w:pPr>
    </w:p>
    <w:p w:rsidR="00613ABE" w:rsidRDefault="00613ABE" w:rsidP="0071105B">
      <w:pPr>
        <w:pStyle w:val="NoSpacing"/>
        <w:numPr>
          <w:ilvl w:val="0"/>
          <w:numId w:val="16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71105B">
        <w:rPr>
          <w:rFonts w:ascii="Times New Roman" w:hAnsi="Times New Roman" w:cs="Times New Roman"/>
          <w:w w:val="105"/>
          <w:sz w:val="24"/>
          <w:szCs w:val="24"/>
        </w:rPr>
        <w:t>Dokumentet e kandidatit</w:t>
      </w:r>
      <w:r w:rsidRPr="0071105B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71105B">
        <w:rPr>
          <w:rFonts w:ascii="Times New Roman" w:hAnsi="Times New Roman" w:cs="Times New Roman"/>
          <w:w w:val="105"/>
          <w:sz w:val="24"/>
          <w:szCs w:val="24"/>
        </w:rPr>
        <w:t xml:space="preserve">për shqyrtim, dorëzohen tek koordinatori për zhvillim akdademik dhe Prodekani për çështje </w:t>
      </w:r>
      <w:r w:rsidR="0071105B">
        <w:rPr>
          <w:rFonts w:ascii="Times New Roman" w:hAnsi="Times New Roman" w:cs="Times New Roman"/>
          <w:w w:val="105"/>
          <w:sz w:val="24"/>
          <w:szCs w:val="24"/>
        </w:rPr>
        <w:t>mësimore në Kolegj</w:t>
      </w:r>
      <w:r w:rsidRPr="0071105B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E719D" w:rsidRPr="00CE719D" w:rsidRDefault="00CE719D" w:rsidP="00CE719D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613ABE" w:rsidRDefault="00613ABE" w:rsidP="0071105B">
      <w:pPr>
        <w:pStyle w:val="NoSpacing"/>
        <w:numPr>
          <w:ilvl w:val="0"/>
          <w:numId w:val="16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71105B">
        <w:rPr>
          <w:rFonts w:ascii="Times New Roman" w:hAnsi="Times New Roman" w:cs="Times New Roman"/>
          <w:w w:val="105"/>
          <w:sz w:val="24"/>
          <w:szCs w:val="24"/>
        </w:rPr>
        <w:t>Koordinat</w:t>
      </w:r>
      <w:r w:rsidR="007E0B2B">
        <w:rPr>
          <w:rFonts w:ascii="Times New Roman" w:hAnsi="Times New Roman" w:cs="Times New Roman"/>
          <w:w w:val="105"/>
          <w:sz w:val="24"/>
          <w:szCs w:val="24"/>
        </w:rPr>
        <w:t>ori për zhvillim akademik i Kolegjit</w:t>
      </w:r>
      <w:r w:rsidRPr="0071105B">
        <w:rPr>
          <w:rFonts w:ascii="Times New Roman" w:hAnsi="Times New Roman" w:cs="Times New Roman"/>
          <w:w w:val="105"/>
          <w:sz w:val="24"/>
          <w:szCs w:val="24"/>
        </w:rPr>
        <w:t>, e bënë shqyrtimin e dokumentacionit dhe bënë krahasimin e lëndëve të përzgjedhura nga studenti. Në rast nevoje procesi ndihmohet nga Prodekani për çështje mësimore dhe/ose Shefi i departamentit/ udhëheqësi i programit të studimeve.</w:t>
      </w:r>
    </w:p>
    <w:p w:rsidR="00CE719D" w:rsidRPr="00CE719D" w:rsidRDefault="00CE719D" w:rsidP="00CE719D">
      <w:pPr>
        <w:pStyle w:val="NoSpacing"/>
        <w:spacing w:line="276" w:lineRule="auto"/>
        <w:rPr>
          <w:rFonts w:ascii="Times New Roman" w:hAnsi="Times New Roman" w:cs="Times New Roman"/>
          <w:w w:val="105"/>
          <w:sz w:val="10"/>
          <w:szCs w:val="10"/>
        </w:rPr>
      </w:pPr>
    </w:p>
    <w:p w:rsidR="007E0B2B" w:rsidRDefault="007E0B2B" w:rsidP="0071105B">
      <w:pPr>
        <w:pStyle w:val="NoSpacing"/>
        <w:numPr>
          <w:ilvl w:val="0"/>
          <w:numId w:val="16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N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rast kur l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nd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t e p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rzgjedhura nga studenti, jan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t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krahasueshme me l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nd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t e programit studimor deri n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70%, apo identike, marr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veshja e m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simit, me propozimm t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koordinatorit p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r zhvillim akademik, duhet t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n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nshkruhet nga prodekani p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r ç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shtje m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simore, ku konfirmohet se l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nd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t e p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rzgjedhura nga studenti do t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pranohen si t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tilla n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programin p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rkat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>s, pas kthimit t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studentit n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Kolegjin Globus.</w:t>
      </w:r>
    </w:p>
    <w:p w:rsidR="00CE719D" w:rsidRPr="00CE719D" w:rsidRDefault="00CE719D" w:rsidP="00CE719D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613ABE" w:rsidRDefault="00613ABE" w:rsidP="0071105B">
      <w:pPr>
        <w:pStyle w:val="NoSpacing"/>
        <w:numPr>
          <w:ilvl w:val="0"/>
          <w:numId w:val="16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71105B">
        <w:rPr>
          <w:rFonts w:ascii="Times New Roman" w:hAnsi="Times New Roman" w:cs="Times New Roman"/>
          <w:w w:val="105"/>
          <w:sz w:val="24"/>
          <w:szCs w:val="24"/>
        </w:rPr>
        <w:t>Në rast se lëndët e përzgjedhura nuk janë të krahasueshme deri në masë 70%, mirëpo i përkasin fushës së njëjtë të studimit, koordinat</w:t>
      </w:r>
      <w:r w:rsidR="007E0B2B">
        <w:rPr>
          <w:rFonts w:ascii="Times New Roman" w:hAnsi="Times New Roman" w:cs="Times New Roman"/>
          <w:w w:val="105"/>
          <w:sz w:val="24"/>
          <w:szCs w:val="24"/>
        </w:rPr>
        <w:t>ori</w:t>
      </w:r>
      <w:r w:rsidRPr="0071105B">
        <w:rPr>
          <w:rFonts w:ascii="Times New Roman" w:hAnsi="Times New Roman" w:cs="Times New Roman"/>
          <w:w w:val="105"/>
          <w:sz w:val="24"/>
          <w:szCs w:val="24"/>
        </w:rPr>
        <w:t xml:space="preserve"> për zhvillim akademik i kërkon/sugjeron studentit që ti  ndryshoj lëndët e përzgjedhura duke e orientuar në lëndë që kanë krahasueshmëri deri në 70%.</w:t>
      </w:r>
    </w:p>
    <w:p w:rsidR="00CE719D" w:rsidRPr="00CE719D" w:rsidRDefault="00CE719D" w:rsidP="00CE719D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C17FE5" w:rsidRPr="0071105B" w:rsidRDefault="001A617B" w:rsidP="0071105B">
      <w:pPr>
        <w:pStyle w:val="NoSpacing"/>
        <w:numPr>
          <w:ilvl w:val="0"/>
          <w:numId w:val="16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71105B">
        <w:rPr>
          <w:rFonts w:ascii="Times New Roman" w:hAnsi="Times New Roman" w:cs="Times New Roman"/>
          <w:w w:val="105"/>
          <w:sz w:val="24"/>
          <w:szCs w:val="24"/>
        </w:rPr>
        <w:t>Në rast se lista e lëndëve në Kolegjin</w:t>
      </w:r>
      <w:r w:rsidR="007E0B2B">
        <w:rPr>
          <w:rFonts w:ascii="Times New Roman" w:hAnsi="Times New Roman" w:cs="Times New Roman"/>
          <w:w w:val="105"/>
          <w:sz w:val="24"/>
          <w:szCs w:val="24"/>
        </w:rPr>
        <w:t xml:space="preserve"> apo Universitetin</w:t>
      </w:r>
      <w:r w:rsidRPr="0071105B">
        <w:rPr>
          <w:rFonts w:ascii="Times New Roman" w:hAnsi="Times New Roman" w:cs="Times New Roman"/>
          <w:w w:val="105"/>
          <w:sz w:val="24"/>
          <w:szCs w:val="24"/>
        </w:rPr>
        <w:t xml:space="preserve"> pritës nuk përmban</w:t>
      </w:r>
      <w:r w:rsidR="007E0B2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71105B">
        <w:rPr>
          <w:rFonts w:ascii="Times New Roman" w:hAnsi="Times New Roman" w:cs="Times New Roman"/>
          <w:w w:val="105"/>
          <w:sz w:val="24"/>
          <w:szCs w:val="24"/>
        </w:rPr>
        <w:t xml:space="preserve"> lëndë të krahasueshme deri në 70% konfirmimi për mundësinë e pranimit dhe nënshkrimit të marrëveshjes së mësimit duhet të merret nga Prodekani për çështje mësimore në bashkëpunim me udhëh</w:t>
      </w:r>
      <w:r w:rsidR="007E0B2B">
        <w:rPr>
          <w:rFonts w:ascii="Times New Roman" w:hAnsi="Times New Roman" w:cs="Times New Roman"/>
          <w:w w:val="105"/>
          <w:sz w:val="24"/>
          <w:szCs w:val="24"/>
        </w:rPr>
        <w:t>eqësin e deparatamentit ose prog</w:t>
      </w:r>
      <w:r w:rsidRPr="0071105B">
        <w:rPr>
          <w:rFonts w:ascii="Times New Roman" w:hAnsi="Times New Roman" w:cs="Times New Roman"/>
          <w:w w:val="105"/>
          <w:sz w:val="24"/>
          <w:szCs w:val="24"/>
        </w:rPr>
        <w:t xml:space="preserve">ramit të studimit, sipas nevojës </w:t>
      </w:r>
      <w:r w:rsidR="007E0B2B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71105B">
        <w:rPr>
          <w:rFonts w:ascii="Times New Roman" w:hAnsi="Times New Roman" w:cs="Times New Roman"/>
          <w:w w:val="105"/>
          <w:sz w:val="24"/>
          <w:szCs w:val="24"/>
        </w:rPr>
        <w:t>dhe komisionit të studimeve të Kolegjit, ku marrin vendim final për aprovim duke:</w:t>
      </w:r>
    </w:p>
    <w:p w:rsidR="00CE719D" w:rsidRPr="00CE719D" w:rsidRDefault="00CE719D" w:rsidP="00CE719D">
      <w:pPr>
        <w:pStyle w:val="NoSpacing"/>
        <w:spacing w:line="276" w:lineRule="auto"/>
        <w:ind w:left="1440"/>
        <w:rPr>
          <w:rFonts w:ascii="Times New Roman" w:hAnsi="Times New Roman" w:cs="Times New Roman"/>
          <w:w w:val="105"/>
          <w:sz w:val="10"/>
          <w:szCs w:val="10"/>
        </w:rPr>
      </w:pPr>
    </w:p>
    <w:p w:rsidR="001A617B" w:rsidRPr="0071105B" w:rsidRDefault="001A617B" w:rsidP="00CE719D">
      <w:pPr>
        <w:pStyle w:val="NoSpacing"/>
        <w:numPr>
          <w:ilvl w:val="0"/>
          <w:numId w:val="18"/>
        </w:numPr>
        <w:spacing w:line="276" w:lineRule="auto"/>
        <w:ind w:left="1440"/>
        <w:rPr>
          <w:rFonts w:ascii="Times New Roman" w:hAnsi="Times New Roman" w:cs="Times New Roman"/>
          <w:w w:val="105"/>
          <w:sz w:val="24"/>
          <w:szCs w:val="24"/>
        </w:rPr>
      </w:pPr>
      <w:r w:rsidRPr="0071105B">
        <w:rPr>
          <w:rFonts w:ascii="Times New Roman" w:hAnsi="Times New Roman" w:cs="Times New Roman"/>
          <w:w w:val="105"/>
          <w:sz w:val="24"/>
          <w:szCs w:val="24"/>
        </w:rPr>
        <w:t>E shqyrtuar mundësinë e pranimit</w:t>
      </w:r>
      <w:r w:rsidR="00E47B98">
        <w:rPr>
          <w:rFonts w:ascii="Times New Roman" w:hAnsi="Times New Roman" w:cs="Times New Roman"/>
          <w:w w:val="105"/>
          <w:sz w:val="24"/>
          <w:szCs w:val="24"/>
        </w:rPr>
        <w:t xml:space="preserve"> të lëndës si lëndë zgjedhore, o</w:t>
      </w:r>
      <w:r w:rsidRPr="0071105B">
        <w:rPr>
          <w:rFonts w:ascii="Times New Roman" w:hAnsi="Times New Roman" w:cs="Times New Roman"/>
          <w:w w:val="105"/>
          <w:sz w:val="24"/>
          <w:szCs w:val="24"/>
        </w:rPr>
        <w:t>se</w:t>
      </w:r>
    </w:p>
    <w:p w:rsidR="001A617B" w:rsidRPr="0071105B" w:rsidRDefault="001A617B" w:rsidP="00CE719D">
      <w:pPr>
        <w:pStyle w:val="NoSpacing"/>
        <w:numPr>
          <w:ilvl w:val="0"/>
          <w:numId w:val="18"/>
        </w:numPr>
        <w:spacing w:line="276" w:lineRule="auto"/>
        <w:ind w:left="1440"/>
        <w:rPr>
          <w:rFonts w:ascii="Times New Roman" w:hAnsi="Times New Roman" w:cs="Times New Roman"/>
          <w:w w:val="105"/>
          <w:sz w:val="24"/>
          <w:szCs w:val="24"/>
        </w:rPr>
      </w:pPr>
      <w:r w:rsidRPr="0071105B">
        <w:rPr>
          <w:rFonts w:ascii="Times New Roman" w:hAnsi="Times New Roman" w:cs="Times New Roman"/>
          <w:w w:val="105"/>
          <w:sz w:val="24"/>
          <w:szCs w:val="24"/>
        </w:rPr>
        <w:t>Të njihen vetë si ECTS kredi shtesë në shtojcën e diplomës.</w:t>
      </w:r>
    </w:p>
    <w:p w:rsidR="00CE719D" w:rsidRPr="00CE719D" w:rsidRDefault="00CE719D" w:rsidP="00CE719D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613ABE" w:rsidRPr="0071105B" w:rsidRDefault="001A617B" w:rsidP="0071105B">
      <w:pPr>
        <w:pStyle w:val="NoSpacing"/>
        <w:numPr>
          <w:ilvl w:val="0"/>
          <w:numId w:val="16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71105B">
        <w:rPr>
          <w:rFonts w:ascii="Times New Roman" w:hAnsi="Times New Roman" w:cs="Times New Roman"/>
          <w:w w:val="105"/>
          <w:sz w:val="24"/>
          <w:szCs w:val="24"/>
        </w:rPr>
        <w:t>Procesi i shqyrtimit të aplikacio</w:t>
      </w:r>
      <w:r w:rsidR="00E47B98">
        <w:rPr>
          <w:rFonts w:ascii="Times New Roman" w:hAnsi="Times New Roman" w:cs="Times New Roman"/>
          <w:w w:val="105"/>
          <w:sz w:val="24"/>
          <w:szCs w:val="24"/>
        </w:rPr>
        <w:t>nit të stundetit duhet të përmby</w:t>
      </w:r>
      <w:r w:rsidRPr="0071105B">
        <w:rPr>
          <w:rFonts w:ascii="Times New Roman" w:hAnsi="Times New Roman" w:cs="Times New Roman"/>
          <w:w w:val="105"/>
          <w:sz w:val="24"/>
          <w:szCs w:val="24"/>
        </w:rPr>
        <w:t>llet në afatin kohor deri në 7 ditë nga dita kur studenti aplikon për Moblitet Akademik.</w:t>
      </w:r>
    </w:p>
    <w:p w:rsidR="00613ABE" w:rsidRDefault="00613ABE" w:rsidP="00082FD5">
      <w:pPr>
        <w:pStyle w:val="NoSpacing"/>
        <w:rPr>
          <w:rFonts w:ascii="Times New Roman" w:hAnsi="Times New Roman" w:cs="Times New Roman"/>
          <w:b/>
          <w:w w:val="105"/>
        </w:rPr>
      </w:pPr>
    </w:p>
    <w:p w:rsidR="00196891" w:rsidRDefault="00196891" w:rsidP="00082FD5">
      <w:pPr>
        <w:pStyle w:val="NoSpacing"/>
        <w:rPr>
          <w:rFonts w:ascii="Times New Roman" w:hAnsi="Times New Roman" w:cs="Times New Roman"/>
          <w:b/>
          <w:w w:val="105"/>
        </w:rPr>
      </w:pPr>
    </w:p>
    <w:p w:rsidR="00196891" w:rsidRPr="0071105B" w:rsidRDefault="00196891" w:rsidP="00082FD5">
      <w:pPr>
        <w:pStyle w:val="NoSpacing"/>
        <w:rPr>
          <w:rFonts w:ascii="Times New Roman" w:hAnsi="Times New Roman" w:cs="Times New Roman"/>
          <w:b/>
          <w:w w:val="105"/>
        </w:rPr>
      </w:pPr>
    </w:p>
    <w:p w:rsidR="009F4CB7" w:rsidRPr="00EF422D" w:rsidRDefault="009F4CB7" w:rsidP="00082FD5">
      <w:pPr>
        <w:pStyle w:val="NoSpacing"/>
        <w:rPr>
          <w:rFonts w:ascii="Times New Roman" w:hAnsi="Times New Roman" w:cs="Times New Roman"/>
          <w:b/>
          <w:w w:val="105"/>
        </w:rPr>
      </w:pPr>
    </w:p>
    <w:p w:rsidR="009F4CB7" w:rsidRPr="005B49C1" w:rsidRDefault="005B49C1" w:rsidP="005B49C1">
      <w:pPr>
        <w:pStyle w:val="Heading2"/>
        <w:jc w:val="center"/>
        <w:rPr>
          <w:rFonts w:ascii="Times New Roman" w:hAnsi="Times New Roman" w:cs="Times New Roman"/>
          <w:b/>
          <w:w w:val="105"/>
        </w:rPr>
      </w:pPr>
      <w:bookmarkStart w:id="7" w:name="_Toc59121446"/>
      <w:r>
        <w:rPr>
          <w:rFonts w:ascii="Times New Roman" w:hAnsi="Times New Roman" w:cs="Times New Roman"/>
          <w:b/>
          <w:w w:val="105"/>
        </w:rPr>
        <w:t>2.2 Njohja e Mobilitet A</w:t>
      </w:r>
      <w:r w:rsidR="009F4CB7" w:rsidRPr="005B49C1">
        <w:rPr>
          <w:rFonts w:ascii="Times New Roman" w:hAnsi="Times New Roman" w:cs="Times New Roman"/>
          <w:b/>
          <w:w w:val="105"/>
        </w:rPr>
        <w:t>kademik</w:t>
      </w:r>
      <w:bookmarkEnd w:id="7"/>
    </w:p>
    <w:p w:rsidR="009F4CB7" w:rsidRDefault="005B49C1" w:rsidP="005B49C1">
      <w:pPr>
        <w:pStyle w:val="NoSpacing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Neni 6</w:t>
      </w:r>
    </w:p>
    <w:p w:rsidR="0076087D" w:rsidRPr="005B49C1" w:rsidRDefault="0076087D" w:rsidP="005B49C1">
      <w:pPr>
        <w:pStyle w:val="NoSpacing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9F4CB7" w:rsidRPr="00071F5C" w:rsidRDefault="009F4CB7" w:rsidP="00071F5C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071F5C">
        <w:rPr>
          <w:rFonts w:ascii="Times New Roman" w:hAnsi="Times New Roman" w:cs="Times New Roman"/>
          <w:w w:val="105"/>
          <w:sz w:val="24"/>
          <w:szCs w:val="24"/>
        </w:rPr>
        <w:t>Lëndët e fituara në një Kolegj</w:t>
      </w:r>
      <w:r w:rsidR="00071F5C">
        <w:rPr>
          <w:rFonts w:ascii="Times New Roman" w:hAnsi="Times New Roman" w:cs="Times New Roman"/>
          <w:w w:val="105"/>
          <w:sz w:val="24"/>
          <w:szCs w:val="24"/>
        </w:rPr>
        <w:t xml:space="preserve"> apo Universitet</w:t>
      </w:r>
      <w:r w:rsidRPr="00071F5C">
        <w:rPr>
          <w:rFonts w:ascii="Times New Roman" w:hAnsi="Times New Roman" w:cs="Times New Roman"/>
          <w:w w:val="105"/>
          <w:sz w:val="24"/>
          <w:szCs w:val="24"/>
        </w:rPr>
        <w:t xml:space="preserve"> jashtë vendit, të </w:t>
      </w:r>
      <w:r w:rsidR="00B23D3C" w:rsidRPr="00071F5C">
        <w:rPr>
          <w:rFonts w:ascii="Times New Roman" w:hAnsi="Times New Roman" w:cs="Times New Roman"/>
          <w:w w:val="105"/>
          <w:sz w:val="24"/>
          <w:szCs w:val="24"/>
        </w:rPr>
        <w:t>cilat janë ngja</w:t>
      </w:r>
      <w:r w:rsidR="00071F5C">
        <w:rPr>
          <w:rFonts w:ascii="Times New Roman" w:hAnsi="Times New Roman" w:cs="Times New Roman"/>
          <w:w w:val="105"/>
          <w:sz w:val="24"/>
          <w:szCs w:val="24"/>
        </w:rPr>
        <w:t>jshme apo identike me lëndët</w:t>
      </w:r>
      <w:r w:rsidR="00B23D3C" w:rsidRPr="00071F5C">
        <w:rPr>
          <w:rFonts w:ascii="Times New Roman" w:hAnsi="Times New Roman" w:cs="Times New Roman"/>
          <w:w w:val="105"/>
          <w:sz w:val="24"/>
          <w:szCs w:val="24"/>
        </w:rPr>
        <w:t xml:space="preserve"> e ofruara në programin </w:t>
      </w:r>
      <w:r w:rsidR="00071F5C">
        <w:rPr>
          <w:rFonts w:ascii="Times New Roman" w:hAnsi="Times New Roman" w:cs="Times New Roman"/>
          <w:w w:val="105"/>
          <w:sz w:val="24"/>
          <w:szCs w:val="24"/>
        </w:rPr>
        <w:t>e studimit të Kolegjit përkatës</w:t>
      </w:r>
      <w:r w:rsidR="00B23D3C" w:rsidRPr="00071F5C">
        <w:rPr>
          <w:rFonts w:ascii="Times New Roman" w:hAnsi="Times New Roman" w:cs="Times New Roman"/>
          <w:w w:val="105"/>
          <w:sz w:val="24"/>
          <w:szCs w:val="24"/>
        </w:rPr>
        <w:t xml:space="preserve">, duhen të pranohen pa asnjë mëdyshje dhe pa asnjë pengesë nga </w:t>
      </w:r>
      <w:r w:rsidR="00071F5C">
        <w:rPr>
          <w:rFonts w:ascii="Times New Roman" w:hAnsi="Times New Roman" w:cs="Times New Roman"/>
          <w:w w:val="105"/>
          <w:sz w:val="24"/>
          <w:szCs w:val="24"/>
        </w:rPr>
        <w:t xml:space="preserve">Kolegji GLOBUS </w:t>
      </w:r>
      <w:r w:rsidR="00B23D3C" w:rsidRPr="00071F5C">
        <w:rPr>
          <w:rFonts w:ascii="Times New Roman" w:hAnsi="Times New Roman" w:cs="Times New Roman"/>
          <w:w w:val="105"/>
          <w:sz w:val="24"/>
          <w:szCs w:val="24"/>
        </w:rPr>
        <w:t>dhe të regjistrohen nga Prodekani për mësim, bazuar në vendimin e Komisionit të Studimeve dhe në dosje i bashkëngjitet vendimi/procesverbali i Komisionit të studimeve.</w:t>
      </w:r>
    </w:p>
    <w:p w:rsidR="00CE719D" w:rsidRPr="00CE719D" w:rsidRDefault="00CE719D" w:rsidP="00CE719D">
      <w:pPr>
        <w:pStyle w:val="ListParagraph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B23D3C" w:rsidRPr="00071F5C" w:rsidRDefault="00B23D3C" w:rsidP="00071F5C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071F5C">
        <w:rPr>
          <w:rFonts w:ascii="Times New Roman" w:hAnsi="Times New Roman" w:cs="Times New Roman"/>
          <w:w w:val="105"/>
          <w:sz w:val="24"/>
          <w:szCs w:val="24"/>
        </w:rPr>
        <w:t>Lëndët të cilat i përshataten profilit të programit, të cilat janë dhënë nga Universitetet e huaja të akredituara dhe me të cilat kemi marrëveshje bashkëpunimi, mirëpo, të cilat nuk i kemi në plan p</w:t>
      </w:r>
      <w:r w:rsidR="00F45494">
        <w:rPr>
          <w:rFonts w:ascii="Times New Roman" w:hAnsi="Times New Roman" w:cs="Times New Roman"/>
          <w:w w:val="105"/>
          <w:sz w:val="24"/>
          <w:szCs w:val="24"/>
        </w:rPr>
        <w:t>rogramin mësimor, ekuivalentimi</w:t>
      </w:r>
      <w:r w:rsidRPr="00071F5C">
        <w:rPr>
          <w:rFonts w:ascii="Times New Roman" w:hAnsi="Times New Roman" w:cs="Times New Roman"/>
          <w:w w:val="105"/>
          <w:sz w:val="24"/>
          <w:szCs w:val="24"/>
        </w:rPr>
        <w:t xml:space="preserve"> apo njohja e këtyre lëndëve bëhet përmes krahasimit të Rezultateve të të Nxënit.</w:t>
      </w:r>
    </w:p>
    <w:p w:rsidR="00CE719D" w:rsidRPr="00CE719D" w:rsidRDefault="00CE719D" w:rsidP="00CE719D">
      <w:pPr>
        <w:pStyle w:val="ListParagraph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B23D3C" w:rsidRDefault="00F45494" w:rsidP="00071F5C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Lënda e fituar</w:t>
      </w:r>
      <w:r w:rsidR="00B23D3C" w:rsidRPr="00071F5C">
        <w:rPr>
          <w:rFonts w:ascii="Times New Roman" w:hAnsi="Times New Roman" w:cs="Times New Roman"/>
          <w:w w:val="105"/>
          <w:sz w:val="24"/>
          <w:szCs w:val="24"/>
        </w:rPr>
        <w:t xml:space="preserve"> në një Universitet të huaj, e cila ka emërtim të ndryshëm nga lënda e ofruar në program të studimit të </w:t>
      </w:r>
      <w:r>
        <w:rPr>
          <w:rFonts w:ascii="Times New Roman" w:hAnsi="Times New Roman" w:cs="Times New Roman"/>
          <w:w w:val="105"/>
          <w:sz w:val="24"/>
          <w:szCs w:val="24"/>
        </w:rPr>
        <w:t>Kolegjit GLOBUS apo programit t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ë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studimit</w:t>
      </w:r>
      <w:r w:rsidR="00B23D3C" w:rsidRPr="00071F5C">
        <w:rPr>
          <w:rFonts w:ascii="Times New Roman" w:hAnsi="Times New Roman" w:cs="Times New Roman"/>
          <w:w w:val="105"/>
          <w:sz w:val="24"/>
          <w:szCs w:val="24"/>
        </w:rPr>
        <w:t>, apo që kanë ngarkesë të ndryshme të studentit</w:t>
      </w:r>
      <w:r w:rsidR="00E008BE" w:rsidRPr="00071F5C">
        <w:rPr>
          <w:rFonts w:ascii="Times New Roman" w:hAnsi="Times New Roman" w:cs="Times New Roman"/>
          <w:w w:val="105"/>
          <w:sz w:val="24"/>
          <w:szCs w:val="24"/>
        </w:rPr>
        <w:t xml:space="preserve"> dhe rrjedhimisht kanë peshë të ndryshme në ECTC, por e cila, i ka Rezultatet e të Nxënit të njëjta ose të ngjashme deri në 70% me ndonjë lëndë të ofruar në programin</w:t>
      </w:r>
      <w:r>
        <w:rPr>
          <w:rFonts w:ascii="Times New Roman" w:hAnsi="Times New Roman" w:cs="Times New Roman"/>
          <w:w w:val="105"/>
          <w:sz w:val="24"/>
          <w:szCs w:val="24"/>
        </w:rPr>
        <w:t>, edhe pse</w:t>
      </w:r>
      <w:r w:rsidR="00E008BE" w:rsidRPr="00071F5C">
        <w:rPr>
          <w:rFonts w:ascii="Times New Roman" w:hAnsi="Times New Roman" w:cs="Times New Roman"/>
          <w:w w:val="105"/>
          <w:sz w:val="24"/>
          <w:szCs w:val="24"/>
        </w:rPr>
        <w:t xml:space="preserve"> ka emërtim të ndryshëm, ajo lëndë mund t'i pranohet nga </w:t>
      </w:r>
      <w:r>
        <w:rPr>
          <w:rFonts w:ascii="Times New Roman" w:hAnsi="Times New Roman" w:cs="Times New Roman"/>
          <w:w w:val="105"/>
          <w:sz w:val="24"/>
          <w:szCs w:val="24"/>
        </w:rPr>
        <w:t>Kolegji përkatës, dhe atë me emërtim të njëjtë si në prog</w:t>
      </w:r>
      <w:r w:rsidR="00E008BE" w:rsidRPr="00071F5C">
        <w:rPr>
          <w:rFonts w:ascii="Times New Roman" w:hAnsi="Times New Roman" w:cs="Times New Roman"/>
          <w:w w:val="105"/>
          <w:sz w:val="24"/>
          <w:szCs w:val="24"/>
        </w:rPr>
        <w:t xml:space="preserve">ramin e ofruar në </w:t>
      </w:r>
      <w:r>
        <w:rPr>
          <w:rFonts w:ascii="Times New Roman" w:hAnsi="Times New Roman" w:cs="Times New Roman"/>
          <w:w w:val="105"/>
          <w:sz w:val="24"/>
          <w:szCs w:val="24"/>
        </w:rPr>
        <w:t>Kolegjin përkatës</w:t>
      </w:r>
      <w:r w:rsidR="00E008BE" w:rsidRPr="00071F5C">
        <w:rPr>
          <w:rFonts w:ascii="Times New Roman" w:hAnsi="Times New Roman" w:cs="Times New Roman"/>
          <w:w w:val="105"/>
          <w:sz w:val="24"/>
          <w:szCs w:val="24"/>
        </w:rPr>
        <w:t xml:space="preserve"> me kusht që Rezultatet ne të Nxënit të janë të ngjashme.</w:t>
      </w:r>
    </w:p>
    <w:p w:rsidR="00CE719D" w:rsidRPr="00CE719D" w:rsidRDefault="00CE719D" w:rsidP="00CE719D">
      <w:pPr>
        <w:pStyle w:val="ListParagraph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E008BE" w:rsidRPr="00CE719D" w:rsidRDefault="00E008BE" w:rsidP="00CE719D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CE719D">
        <w:rPr>
          <w:rFonts w:ascii="Times New Roman" w:hAnsi="Times New Roman" w:cs="Times New Roman"/>
          <w:w w:val="105"/>
          <w:sz w:val="24"/>
          <w:szCs w:val="24"/>
        </w:rPr>
        <w:t>Nota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 xml:space="preserve"> regjistrohet nga Prodekani për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 xml:space="preserve"> mësim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E008BE" w:rsidRPr="00CE719D" w:rsidRDefault="00E008BE" w:rsidP="00CE719D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CE719D">
        <w:rPr>
          <w:rFonts w:ascii="Times New Roman" w:hAnsi="Times New Roman" w:cs="Times New Roman"/>
          <w:w w:val="105"/>
          <w:sz w:val="24"/>
          <w:szCs w:val="24"/>
        </w:rPr>
        <w:t>Studenti që aplikon për mobilitet në Universitet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 xml:space="preserve"> pritës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 xml:space="preserve">(tjetër) nuk mund të përzgjedh lëndët që i ka të dhëna në 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>Kolegjin GLOBUS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>. Lëndët e tilla nuk pranohen për shqyrtim.</w:t>
      </w:r>
    </w:p>
    <w:p w:rsidR="00CE719D" w:rsidRPr="00CE719D" w:rsidRDefault="00CE719D" w:rsidP="00CE719D">
      <w:pPr>
        <w:pStyle w:val="NoSpacing"/>
        <w:spacing w:line="276" w:lineRule="auto"/>
        <w:ind w:left="720"/>
        <w:rPr>
          <w:rFonts w:ascii="Times New Roman" w:hAnsi="Times New Roman" w:cs="Times New Roman"/>
          <w:w w:val="105"/>
          <w:sz w:val="10"/>
          <w:szCs w:val="10"/>
        </w:rPr>
      </w:pPr>
    </w:p>
    <w:p w:rsidR="00E008BE" w:rsidRPr="00CE719D" w:rsidRDefault="00E008BE" w:rsidP="00CE719D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CE719D">
        <w:rPr>
          <w:rFonts w:ascii="Times New Roman" w:hAnsi="Times New Roman" w:cs="Times New Roman"/>
          <w:w w:val="105"/>
          <w:sz w:val="24"/>
          <w:szCs w:val="24"/>
        </w:rPr>
        <w:t>Lëndët të cilat në një Univ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>ersitet janë në nivelin Bachelor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 xml:space="preserve"> ndërsa në tjetrin në nivelin Master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 xml:space="preserve">(dhe anasjelltas), studenti mund ti zgjedh deri në 2 lëndë, të nivelit të ndryshëm të studimit, që i ekuivalentohen në 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>Kolegjin GLOBUS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 xml:space="preserve"> në nivelin e studimit përkatës.</w:t>
      </w:r>
    </w:p>
    <w:p w:rsidR="00CE719D" w:rsidRPr="00CE719D" w:rsidRDefault="00CE719D" w:rsidP="00CE719D">
      <w:pPr>
        <w:pStyle w:val="NoSpacing"/>
        <w:spacing w:line="276" w:lineRule="auto"/>
        <w:ind w:left="720"/>
        <w:rPr>
          <w:rFonts w:ascii="Times New Roman" w:hAnsi="Times New Roman" w:cs="Times New Roman"/>
          <w:w w:val="105"/>
          <w:sz w:val="10"/>
          <w:szCs w:val="10"/>
        </w:rPr>
      </w:pPr>
    </w:p>
    <w:p w:rsidR="00AE50F4" w:rsidRPr="00CE719D" w:rsidRDefault="00E008BE" w:rsidP="00CE719D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CE719D">
        <w:rPr>
          <w:rFonts w:ascii="Times New Roman" w:hAnsi="Times New Roman" w:cs="Times New Roman"/>
          <w:w w:val="105"/>
          <w:sz w:val="24"/>
          <w:szCs w:val="24"/>
        </w:rPr>
        <w:t xml:space="preserve">Kreditë 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>ECTS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>), nga mobiliteti i studentëve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 xml:space="preserve"> të 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>fituara në Universitetet Verore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 xml:space="preserve"> i pranohet studentëve sipas kapitullit 3 të kësaj rregulloreje,</w:t>
      </w:r>
    </w:p>
    <w:p w:rsidR="00CE719D" w:rsidRPr="00CE719D" w:rsidRDefault="00CE719D" w:rsidP="00CE719D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E008BE" w:rsidRPr="00CE719D" w:rsidRDefault="00E008BE" w:rsidP="00CE719D">
      <w:pPr>
        <w:pStyle w:val="NoSpacing"/>
        <w:numPr>
          <w:ilvl w:val="0"/>
          <w:numId w:val="21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CE719D">
        <w:rPr>
          <w:rFonts w:ascii="Times New Roman" w:hAnsi="Times New Roman" w:cs="Times New Roman"/>
          <w:w w:val="105"/>
          <w:sz w:val="24"/>
          <w:szCs w:val="24"/>
        </w:rPr>
        <w:t xml:space="preserve">Transferi i 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>ECTS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 xml:space="preserve"> kreditve, për lëndët obligative </w:t>
      </w:r>
      <w:r w:rsidR="00B06050" w:rsidRPr="00CE719D">
        <w:rPr>
          <w:rFonts w:ascii="Times New Roman" w:hAnsi="Times New Roman" w:cs="Times New Roman"/>
          <w:w w:val="105"/>
          <w:sz w:val="24"/>
          <w:szCs w:val="24"/>
        </w:rPr>
        <w:t xml:space="preserve">me përmbajtje të njëjtë, por që dallon numri i 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>(</w:t>
      </w:r>
      <w:r w:rsidR="00B06050" w:rsidRPr="00CE719D">
        <w:rPr>
          <w:rFonts w:ascii="Times New Roman" w:hAnsi="Times New Roman" w:cs="Times New Roman"/>
          <w:w w:val="105"/>
          <w:sz w:val="24"/>
          <w:szCs w:val="24"/>
        </w:rPr>
        <w:t>ECTS</w:t>
      </w:r>
      <w:r w:rsidR="00F45494" w:rsidRPr="00CE719D">
        <w:rPr>
          <w:rFonts w:ascii="Times New Roman" w:hAnsi="Times New Roman" w:cs="Times New Roman"/>
          <w:w w:val="105"/>
          <w:sz w:val="24"/>
          <w:szCs w:val="24"/>
        </w:rPr>
        <w:t>)</w:t>
      </w:r>
      <w:r w:rsidR="00B06050" w:rsidRPr="00CE719D">
        <w:rPr>
          <w:rFonts w:ascii="Times New Roman" w:hAnsi="Times New Roman" w:cs="Times New Roman"/>
          <w:w w:val="105"/>
          <w:sz w:val="24"/>
          <w:szCs w:val="24"/>
        </w:rPr>
        <w:t xml:space="preserve"> kredive, këto lëndë duhet të pranohen.</w:t>
      </w:r>
    </w:p>
    <w:p w:rsidR="00CE719D" w:rsidRPr="00CE719D" w:rsidRDefault="00CE719D" w:rsidP="00CE719D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B06050" w:rsidRPr="00CE719D" w:rsidRDefault="00B06050" w:rsidP="00CE719D">
      <w:pPr>
        <w:pStyle w:val="NoSpacing"/>
        <w:numPr>
          <w:ilvl w:val="0"/>
          <w:numId w:val="21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CE719D">
        <w:rPr>
          <w:rFonts w:ascii="Times New Roman" w:hAnsi="Times New Roman" w:cs="Times New Roman"/>
          <w:w w:val="105"/>
          <w:sz w:val="24"/>
          <w:szCs w:val="24"/>
        </w:rPr>
        <w:t xml:space="preserve">Marrëveshja e mësimit, mund të pësojnë ndryshime edhe pasi që studenti/tja të ketë filluar mobilitetin, 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pasi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 xml:space="preserve"> diçka e tillë parashihet edhe në programet e ndryshm</w:t>
      </w:r>
      <w:r w:rsidR="00CE719D">
        <w:rPr>
          <w:rFonts w:ascii="Times New Roman" w:hAnsi="Times New Roman" w:cs="Times New Roman"/>
          <w:w w:val="105"/>
          <w:sz w:val="24"/>
          <w:szCs w:val="24"/>
        </w:rPr>
        <w:t>e ndërkombëtare (Erasmus +,etj</w:t>
      </w:r>
      <w:r w:rsidRPr="00CE719D">
        <w:rPr>
          <w:rFonts w:ascii="Times New Roman" w:hAnsi="Times New Roman" w:cs="Times New Roman"/>
          <w:w w:val="105"/>
          <w:sz w:val="24"/>
          <w:szCs w:val="24"/>
        </w:rPr>
        <w:t>). Ndryshimet eventuale duhet të bëhen në koordinim me:</w:t>
      </w:r>
    </w:p>
    <w:p w:rsidR="00B06050" w:rsidRPr="00CE719D" w:rsidRDefault="00B06050" w:rsidP="00CE719D">
      <w:pPr>
        <w:pStyle w:val="NoSpacing"/>
        <w:numPr>
          <w:ilvl w:val="0"/>
          <w:numId w:val="8"/>
        </w:numPr>
        <w:spacing w:line="276" w:lineRule="auto"/>
        <w:ind w:left="1440"/>
        <w:rPr>
          <w:rFonts w:ascii="Times New Roman" w:hAnsi="Times New Roman" w:cs="Times New Roman"/>
          <w:w w:val="105"/>
          <w:sz w:val="24"/>
          <w:szCs w:val="24"/>
        </w:rPr>
      </w:pPr>
      <w:r w:rsidRPr="00CE719D">
        <w:rPr>
          <w:rFonts w:ascii="Times New Roman" w:hAnsi="Times New Roman" w:cs="Times New Roman"/>
          <w:w w:val="105"/>
          <w:sz w:val="24"/>
          <w:szCs w:val="24"/>
        </w:rPr>
        <w:t>Studentin</w:t>
      </w:r>
    </w:p>
    <w:p w:rsidR="00B06050" w:rsidRPr="00CE719D" w:rsidRDefault="00B06050" w:rsidP="00CE719D">
      <w:pPr>
        <w:pStyle w:val="NoSpacing"/>
        <w:numPr>
          <w:ilvl w:val="0"/>
          <w:numId w:val="8"/>
        </w:numPr>
        <w:spacing w:line="276" w:lineRule="auto"/>
        <w:ind w:left="1440"/>
        <w:rPr>
          <w:rFonts w:ascii="Times New Roman" w:hAnsi="Times New Roman" w:cs="Times New Roman"/>
          <w:w w:val="105"/>
          <w:sz w:val="24"/>
          <w:szCs w:val="24"/>
        </w:rPr>
      </w:pPr>
      <w:r w:rsidRPr="00CE719D">
        <w:rPr>
          <w:rFonts w:ascii="Times New Roman" w:hAnsi="Times New Roman" w:cs="Times New Roman"/>
          <w:w w:val="105"/>
          <w:sz w:val="24"/>
          <w:szCs w:val="24"/>
        </w:rPr>
        <w:t>Fakultetin pritës, dhe</w:t>
      </w:r>
    </w:p>
    <w:p w:rsidR="00B06050" w:rsidRPr="00CE719D" w:rsidRDefault="00B06050" w:rsidP="00CE719D">
      <w:pPr>
        <w:pStyle w:val="NoSpacing"/>
        <w:numPr>
          <w:ilvl w:val="0"/>
          <w:numId w:val="8"/>
        </w:numPr>
        <w:spacing w:line="276" w:lineRule="auto"/>
        <w:ind w:left="1440"/>
        <w:rPr>
          <w:rFonts w:ascii="Times New Roman" w:hAnsi="Times New Roman" w:cs="Times New Roman"/>
          <w:w w:val="105"/>
          <w:sz w:val="24"/>
          <w:szCs w:val="24"/>
        </w:rPr>
      </w:pPr>
      <w:r w:rsidRPr="00CE719D">
        <w:rPr>
          <w:rFonts w:ascii="Times New Roman" w:hAnsi="Times New Roman" w:cs="Times New Roman"/>
          <w:w w:val="105"/>
          <w:sz w:val="24"/>
          <w:szCs w:val="24"/>
        </w:rPr>
        <w:t>Fakultetin dërgues.</w:t>
      </w:r>
    </w:p>
    <w:p w:rsidR="00AE50F4" w:rsidRPr="00CE719D" w:rsidRDefault="00AE50F4" w:rsidP="00CE719D">
      <w:pPr>
        <w:pStyle w:val="NoSpacing"/>
        <w:spacing w:line="276" w:lineRule="auto"/>
        <w:ind w:left="720"/>
        <w:rPr>
          <w:rFonts w:ascii="Times New Roman" w:hAnsi="Times New Roman" w:cs="Times New Roman"/>
          <w:w w:val="105"/>
          <w:sz w:val="10"/>
          <w:szCs w:val="10"/>
        </w:rPr>
      </w:pPr>
    </w:p>
    <w:p w:rsidR="00B06050" w:rsidRDefault="00B06050" w:rsidP="00CE719D">
      <w:pPr>
        <w:pStyle w:val="NoSpacing"/>
        <w:numPr>
          <w:ilvl w:val="0"/>
          <w:numId w:val="16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CE719D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Nënshkrimi i marrëveshjes së mësimit nënkupton që pas realizimit të Moblitetit Akademik të stundentit dhe pas dëshmisë me shkrim se lëndët e zgjedhura paraprakisht nga studenti, të cilat janë të evidentuara në marrëveshje të mësimit janë vlerësuar me nota kaluese, në mënyrë automatike bëhet pranimi i lëndëve dhe ECTS kredive në </w:t>
      </w:r>
      <w:r w:rsidR="00DE3FD0">
        <w:rPr>
          <w:rFonts w:ascii="Times New Roman" w:hAnsi="Times New Roman" w:cs="Times New Roman"/>
          <w:w w:val="105"/>
          <w:sz w:val="24"/>
          <w:szCs w:val="24"/>
        </w:rPr>
        <w:t>Kolegjin GLOBUS</w:t>
      </w:r>
      <w:r w:rsidR="00FE095D" w:rsidRPr="00CE719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6087D" w:rsidRPr="0076087D" w:rsidRDefault="0076087D" w:rsidP="0076087D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FE095D" w:rsidRPr="00DE3FD0" w:rsidRDefault="00FE095D" w:rsidP="00CE719D">
      <w:pPr>
        <w:pStyle w:val="NoSpacing"/>
        <w:numPr>
          <w:ilvl w:val="0"/>
          <w:numId w:val="16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DE3FD0">
        <w:rPr>
          <w:rFonts w:ascii="Times New Roman" w:hAnsi="Times New Roman" w:cs="Times New Roman"/>
          <w:w w:val="105"/>
          <w:sz w:val="24"/>
          <w:szCs w:val="24"/>
        </w:rPr>
        <w:t xml:space="preserve">Mos pranimi i lëndëve mund të ndohë vetëm në rast se: </w:t>
      </w:r>
    </w:p>
    <w:p w:rsidR="00DE3FD0" w:rsidRPr="00DE3FD0" w:rsidRDefault="00DE3FD0" w:rsidP="00DE3FD0">
      <w:pPr>
        <w:pStyle w:val="NoSpacing"/>
        <w:spacing w:line="276" w:lineRule="auto"/>
        <w:ind w:left="1440"/>
        <w:rPr>
          <w:rFonts w:ascii="Times New Roman" w:hAnsi="Times New Roman" w:cs="Times New Roman"/>
          <w:w w:val="105"/>
          <w:sz w:val="10"/>
          <w:szCs w:val="10"/>
        </w:rPr>
      </w:pPr>
    </w:p>
    <w:p w:rsidR="00FE095D" w:rsidRPr="00DE3FD0" w:rsidRDefault="00FE095D" w:rsidP="00DE3FD0">
      <w:pPr>
        <w:pStyle w:val="NoSpacing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w w:val="105"/>
          <w:sz w:val="24"/>
          <w:szCs w:val="24"/>
        </w:rPr>
      </w:pPr>
      <w:r w:rsidRPr="00DE3FD0">
        <w:rPr>
          <w:rFonts w:ascii="Times New Roman" w:hAnsi="Times New Roman" w:cs="Times New Roman"/>
          <w:w w:val="105"/>
          <w:sz w:val="24"/>
          <w:szCs w:val="24"/>
        </w:rPr>
        <w:t>Studenti nuk i ka kaluar provimet në Universitetin pritës</w:t>
      </w:r>
      <w:r w:rsidR="00DE3FD0">
        <w:rPr>
          <w:rFonts w:ascii="Times New Roman" w:hAnsi="Times New Roman" w:cs="Times New Roman"/>
          <w:w w:val="105"/>
          <w:sz w:val="24"/>
          <w:szCs w:val="24"/>
        </w:rPr>
        <w:t xml:space="preserve"> (Universiteti apo Kolegji ku kryhet mobiliteti)</w:t>
      </w:r>
      <w:r w:rsidRPr="00DE3FD0">
        <w:rPr>
          <w:rFonts w:ascii="Times New Roman" w:hAnsi="Times New Roman" w:cs="Times New Roman"/>
          <w:w w:val="105"/>
          <w:sz w:val="24"/>
          <w:szCs w:val="24"/>
        </w:rPr>
        <w:t>, dhe</w:t>
      </w:r>
    </w:p>
    <w:p w:rsidR="00FE095D" w:rsidRPr="00DE3FD0" w:rsidRDefault="00FE095D" w:rsidP="00DE3FD0">
      <w:pPr>
        <w:pStyle w:val="NoSpacing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w w:val="105"/>
          <w:sz w:val="24"/>
          <w:szCs w:val="24"/>
        </w:rPr>
      </w:pPr>
      <w:r w:rsidRPr="00DE3FD0">
        <w:rPr>
          <w:rFonts w:ascii="Times New Roman" w:hAnsi="Times New Roman" w:cs="Times New Roman"/>
          <w:w w:val="105"/>
          <w:sz w:val="24"/>
          <w:szCs w:val="24"/>
        </w:rPr>
        <w:t>Nuk i ka akumuluar ECTS-të kreditë sipas marrëveshjes së mësimit.</w:t>
      </w:r>
    </w:p>
    <w:p w:rsidR="00AE50F4" w:rsidRPr="00DE3FD0" w:rsidRDefault="00AE50F4" w:rsidP="00CE719D">
      <w:pPr>
        <w:pStyle w:val="NoSpacing"/>
        <w:spacing w:line="276" w:lineRule="auto"/>
        <w:ind w:left="720"/>
        <w:rPr>
          <w:rFonts w:ascii="Times New Roman" w:hAnsi="Times New Roman" w:cs="Times New Roman"/>
          <w:w w:val="105"/>
          <w:sz w:val="10"/>
          <w:szCs w:val="10"/>
        </w:rPr>
      </w:pPr>
    </w:p>
    <w:p w:rsidR="00B06050" w:rsidRPr="00DE3FD0" w:rsidRDefault="00FE095D" w:rsidP="00DE3FD0">
      <w:pPr>
        <w:pStyle w:val="NoSpacing"/>
        <w:numPr>
          <w:ilvl w:val="0"/>
          <w:numId w:val="26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DE3FD0">
        <w:rPr>
          <w:rFonts w:ascii="Times New Roman" w:hAnsi="Times New Roman" w:cs="Times New Roman"/>
          <w:w w:val="105"/>
          <w:sz w:val="24"/>
          <w:szCs w:val="24"/>
        </w:rPr>
        <w:t>Në rastet e tilla</w:t>
      </w:r>
      <w:r w:rsidR="004177BA" w:rsidRPr="00DE3FD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E3FD0">
        <w:rPr>
          <w:rFonts w:ascii="Times New Roman" w:hAnsi="Times New Roman" w:cs="Times New Roman"/>
          <w:w w:val="105"/>
          <w:sz w:val="24"/>
          <w:szCs w:val="24"/>
        </w:rPr>
        <w:t>Kolegji GLOBUS dhe prodekani për mësim</w:t>
      </w:r>
      <w:r w:rsidR="004177BA" w:rsidRPr="00DE3FD0">
        <w:rPr>
          <w:rFonts w:ascii="Times New Roman" w:hAnsi="Times New Roman" w:cs="Times New Roman"/>
          <w:w w:val="105"/>
          <w:sz w:val="24"/>
          <w:szCs w:val="24"/>
        </w:rPr>
        <w:t>, obligohet të japë arsyetim dhe dëshmi me shkrim për mos pranimin e lëndëve dhe ECTS-ve.</w:t>
      </w:r>
    </w:p>
    <w:p w:rsidR="00AE50F4" w:rsidRPr="00DE3FD0" w:rsidRDefault="00AE50F4" w:rsidP="00DE3FD0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4177BA" w:rsidRPr="00DE3FD0" w:rsidRDefault="004177BA" w:rsidP="00DE3FD0">
      <w:pPr>
        <w:pStyle w:val="NoSpacing"/>
        <w:numPr>
          <w:ilvl w:val="0"/>
          <w:numId w:val="26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DE3FD0">
        <w:rPr>
          <w:rFonts w:ascii="Times New Roman" w:hAnsi="Times New Roman" w:cs="Times New Roman"/>
          <w:w w:val="105"/>
          <w:sz w:val="24"/>
          <w:szCs w:val="24"/>
        </w:rPr>
        <w:t>Në rast se stundeti përfitues i mobilitetit bënë</w:t>
      </w:r>
      <w:r w:rsidRPr="00DE3FD0">
        <w:rPr>
          <w:rFonts w:ascii="Times New Roman" w:hAnsi="Times New Roman" w:cs="Times New Roman"/>
          <w:b/>
          <w:w w:val="105"/>
          <w:sz w:val="24"/>
          <w:szCs w:val="24"/>
        </w:rPr>
        <w:t xml:space="preserve"> shkelje etike </w:t>
      </w:r>
      <w:r w:rsidRPr="00DE3FD0">
        <w:rPr>
          <w:rFonts w:ascii="Times New Roman" w:hAnsi="Times New Roman" w:cs="Times New Roman"/>
          <w:w w:val="105"/>
          <w:sz w:val="24"/>
          <w:szCs w:val="24"/>
        </w:rPr>
        <w:t>n</w:t>
      </w:r>
      <w:r w:rsidR="00DE3FD0">
        <w:rPr>
          <w:rFonts w:ascii="Times New Roman" w:hAnsi="Times New Roman" w:cs="Times New Roman"/>
          <w:w w:val="105"/>
          <w:sz w:val="24"/>
          <w:szCs w:val="24"/>
        </w:rPr>
        <w:t>ë U</w:t>
      </w:r>
      <w:r w:rsidRPr="00DE3FD0">
        <w:rPr>
          <w:rFonts w:ascii="Times New Roman" w:hAnsi="Times New Roman" w:cs="Times New Roman"/>
          <w:w w:val="105"/>
          <w:sz w:val="24"/>
          <w:szCs w:val="24"/>
        </w:rPr>
        <w:t xml:space="preserve">niversitetin pritës, përveç masave ndëshkimore që do të merr nga </w:t>
      </w:r>
      <w:r w:rsidR="00DE3FD0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DE3FD0">
        <w:rPr>
          <w:rFonts w:ascii="Times New Roman" w:hAnsi="Times New Roman" w:cs="Times New Roman"/>
          <w:w w:val="105"/>
          <w:sz w:val="24"/>
          <w:szCs w:val="24"/>
        </w:rPr>
        <w:t>niversitetin pritës, i njejti do t</w:t>
      </w:r>
      <w:r w:rsidR="00DE3FD0">
        <w:rPr>
          <w:rFonts w:ascii="Times New Roman" w:hAnsi="Times New Roman" w:cs="Times New Roman"/>
          <w:w w:val="105"/>
          <w:sz w:val="24"/>
          <w:szCs w:val="24"/>
        </w:rPr>
        <w:t>’</w:t>
      </w:r>
      <w:r w:rsidRPr="00DE3FD0">
        <w:rPr>
          <w:rFonts w:ascii="Times New Roman" w:hAnsi="Times New Roman" w:cs="Times New Roman"/>
          <w:w w:val="105"/>
          <w:sz w:val="24"/>
          <w:szCs w:val="24"/>
        </w:rPr>
        <w:t>i nënsht</w:t>
      </w:r>
      <w:r w:rsidR="00DE3FD0">
        <w:rPr>
          <w:rFonts w:ascii="Times New Roman" w:hAnsi="Times New Roman" w:cs="Times New Roman"/>
          <w:w w:val="105"/>
          <w:sz w:val="24"/>
          <w:szCs w:val="24"/>
        </w:rPr>
        <w:t>r</w:t>
      </w:r>
      <w:r w:rsidRPr="00DE3FD0">
        <w:rPr>
          <w:rFonts w:ascii="Times New Roman" w:hAnsi="Times New Roman" w:cs="Times New Roman"/>
          <w:w w:val="105"/>
          <w:sz w:val="24"/>
          <w:szCs w:val="24"/>
        </w:rPr>
        <w:t xml:space="preserve">ohet procedurës disiplinore nga </w:t>
      </w:r>
      <w:r w:rsidR="00DE3FD0">
        <w:rPr>
          <w:rFonts w:ascii="Times New Roman" w:hAnsi="Times New Roman" w:cs="Times New Roman"/>
          <w:w w:val="105"/>
          <w:sz w:val="24"/>
          <w:szCs w:val="24"/>
        </w:rPr>
        <w:t>Kolegji GLOBUS</w:t>
      </w:r>
      <w:r w:rsidRPr="00DE3FD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AE50F4" w:rsidRPr="00DE3FD0" w:rsidRDefault="00AE50F4" w:rsidP="00DE3FD0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4177BA" w:rsidRPr="00DE3FD0" w:rsidRDefault="004177BA" w:rsidP="00DE3FD0">
      <w:pPr>
        <w:pStyle w:val="NoSpacing"/>
        <w:numPr>
          <w:ilvl w:val="0"/>
          <w:numId w:val="26"/>
        </w:numPr>
        <w:spacing w:line="276" w:lineRule="auto"/>
        <w:ind w:left="36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E3FD0">
        <w:rPr>
          <w:rFonts w:ascii="Times New Roman" w:hAnsi="Times New Roman" w:cs="Times New Roman"/>
          <w:w w:val="105"/>
          <w:sz w:val="24"/>
          <w:szCs w:val="24"/>
        </w:rPr>
        <w:t xml:space="preserve">Periudha kohore që duhet përmbyllur procesi i shqyrtimit dhe njohjes së lëndëve në </w:t>
      </w:r>
      <w:r w:rsidR="00DE3FD0">
        <w:rPr>
          <w:rFonts w:ascii="Times New Roman" w:hAnsi="Times New Roman" w:cs="Times New Roman"/>
          <w:w w:val="105"/>
          <w:sz w:val="24"/>
          <w:szCs w:val="24"/>
        </w:rPr>
        <w:t>Kolegjin GLOBUS pas kthimit nga U</w:t>
      </w:r>
      <w:r w:rsidRPr="00DE3FD0">
        <w:rPr>
          <w:rFonts w:ascii="Times New Roman" w:hAnsi="Times New Roman" w:cs="Times New Roman"/>
          <w:w w:val="105"/>
          <w:sz w:val="24"/>
          <w:szCs w:val="24"/>
        </w:rPr>
        <w:t>niversiteti pritës duhet të bëhet brenda 15 ditë pune.</w:t>
      </w:r>
    </w:p>
    <w:p w:rsidR="00613ABE" w:rsidRDefault="00613ABE" w:rsidP="00082FD5">
      <w:pPr>
        <w:pStyle w:val="NoSpacing"/>
        <w:rPr>
          <w:rFonts w:ascii="Times New Roman" w:hAnsi="Times New Roman" w:cs="Times New Roman"/>
          <w:b/>
          <w:w w:val="105"/>
        </w:rPr>
      </w:pPr>
    </w:p>
    <w:p w:rsidR="0076087D" w:rsidRPr="00EF422D" w:rsidRDefault="0076087D" w:rsidP="00082FD5">
      <w:pPr>
        <w:pStyle w:val="NoSpacing"/>
        <w:rPr>
          <w:rFonts w:ascii="Times New Roman" w:hAnsi="Times New Roman" w:cs="Times New Roman"/>
          <w:b/>
          <w:w w:val="105"/>
        </w:rPr>
      </w:pPr>
    </w:p>
    <w:p w:rsidR="00AE50F4" w:rsidRPr="006F6188" w:rsidRDefault="006F6188" w:rsidP="006F6188">
      <w:pPr>
        <w:pStyle w:val="Heading2"/>
        <w:jc w:val="center"/>
        <w:rPr>
          <w:rFonts w:ascii="Times New Roman" w:hAnsi="Times New Roman" w:cs="Times New Roman"/>
          <w:b/>
          <w:color w:val="2D2B2D"/>
          <w:w w:val="105"/>
        </w:rPr>
      </w:pPr>
      <w:bookmarkStart w:id="8" w:name="_Toc59121447"/>
      <w:r>
        <w:rPr>
          <w:rFonts w:ascii="Times New Roman" w:hAnsi="Times New Roman" w:cs="Times New Roman"/>
          <w:b/>
          <w:w w:val="105"/>
        </w:rPr>
        <w:t xml:space="preserve">2.3 </w:t>
      </w:r>
      <w:r w:rsidR="00AE50F4" w:rsidRPr="006F6188">
        <w:rPr>
          <w:rFonts w:ascii="Times New Roman" w:hAnsi="Times New Roman" w:cs="Times New Roman"/>
          <w:b/>
          <w:w w:val="105"/>
        </w:rPr>
        <w:t xml:space="preserve">Llojet e </w:t>
      </w:r>
      <w:r w:rsidR="00355D03">
        <w:rPr>
          <w:rFonts w:ascii="Times New Roman" w:hAnsi="Times New Roman" w:cs="Times New Roman"/>
          <w:b/>
          <w:w w:val="105"/>
        </w:rPr>
        <w:t>A</w:t>
      </w:r>
      <w:r w:rsidR="00AE50F4" w:rsidRPr="006F6188">
        <w:rPr>
          <w:rFonts w:ascii="Times New Roman" w:hAnsi="Times New Roman" w:cs="Times New Roman"/>
          <w:b/>
          <w:w w:val="105"/>
        </w:rPr>
        <w:t xml:space="preserve">ktiviteteve </w:t>
      </w:r>
      <w:r w:rsidR="00355D03">
        <w:rPr>
          <w:rFonts w:ascii="Times New Roman" w:hAnsi="Times New Roman" w:cs="Times New Roman"/>
          <w:b/>
          <w:color w:val="0070C0"/>
          <w:w w:val="105"/>
        </w:rPr>
        <w:t>J</w:t>
      </w:r>
      <w:r w:rsidR="00AE50F4" w:rsidRPr="006F6188">
        <w:rPr>
          <w:rFonts w:ascii="Times New Roman" w:hAnsi="Times New Roman" w:cs="Times New Roman"/>
          <w:b/>
          <w:color w:val="0070C0"/>
          <w:w w:val="105"/>
        </w:rPr>
        <w:t>asht</w:t>
      </w:r>
      <w:r w:rsidR="00355D03">
        <w:rPr>
          <w:rFonts w:ascii="Times New Roman" w:hAnsi="Times New Roman" w:cs="Times New Roman"/>
          <w:b/>
          <w:color w:val="0070C0"/>
          <w:w w:val="105"/>
        </w:rPr>
        <w:t>ë Programeve M</w:t>
      </w:r>
      <w:r w:rsidR="00AE50F4" w:rsidRPr="006F6188">
        <w:rPr>
          <w:rFonts w:ascii="Times New Roman" w:hAnsi="Times New Roman" w:cs="Times New Roman"/>
          <w:b/>
          <w:color w:val="0070C0"/>
          <w:w w:val="105"/>
        </w:rPr>
        <w:t>ësimore</w:t>
      </w:r>
      <w:bookmarkEnd w:id="8"/>
    </w:p>
    <w:p w:rsidR="00AE50F4" w:rsidRPr="006F6188" w:rsidRDefault="00AE50F4" w:rsidP="006F6188">
      <w:pPr>
        <w:pStyle w:val="NoSpacing"/>
        <w:jc w:val="center"/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</w:pPr>
      <w:r w:rsidRPr="006F6188"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  <w:t xml:space="preserve">Neni </w:t>
      </w:r>
      <w:r w:rsidR="00355D03"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  <w:t>7</w:t>
      </w:r>
    </w:p>
    <w:p w:rsidR="00355D03" w:rsidRDefault="00355D03" w:rsidP="00082FD5">
      <w:pPr>
        <w:pStyle w:val="NoSpacing"/>
        <w:rPr>
          <w:rFonts w:ascii="Times New Roman" w:hAnsi="Times New Roman" w:cs="Times New Roman"/>
          <w:color w:val="2D2B2D"/>
          <w:w w:val="105"/>
          <w:sz w:val="24"/>
          <w:szCs w:val="24"/>
        </w:rPr>
      </w:pPr>
    </w:p>
    <w:p w:rsidR="00355D03" w:rsidRPr="00355D03" w:rsidRDefault="00AE50F4" w:rsidP="00355D03">
      <w:pPr>
        <w:pStyle w:val="NoSpacing"/>
        <w:spacing w:line="276" w:lineRule="auto"/>
        <w:rPr>
          <w:rFonts w:ascii="Times New Roman" w:hAnsi="Times New Roman" w:cs="Times New Roman"/>
          <w:w w:val="105"/>
          <w:sz w:val="10"/>
          <w:szCs w:val="10"/>
        </w:rPr>
      </w:pPr>
      <w:r w:rsidRPr="00355D03">
        <w:rPr>
          <w:rFonts w:ascii="Times New Roman" w:hAnsi="Times New Roman" w:cs="Times New Roman"/>
          <w:w w:val="105"/>
          <w:sz w:val="24"/>
          <w:szCs w:val="24"/>
        </w:rPr>
        <w:t xml:space="preserve">Aktivitetet jashtë programve mësimore janë </w:t>
      </w:r>
      <w:r w:rsidR="00355D03">
        <w:rPr>
          <w:rFonts w:ascii="Times New Roman" w:hAnsi="Times New Roman" w:cs="Times New Roman"/>
          <w:w w:val="105"/>
          <w:sz w:val="24"/>
          <w:szCs w:val="24"/>
        </w:rPr>
        <w:t>ato aktivitete</w:t>
      </w:r>
      <w:r w:rsidRPr="00355D03">
        <w:rPr>
          <w:rFonts w:ascii="Times New Roman" w:hAnsi="Times New Roman" w:cs="Times New Roman"/>
          <w:w w:val="105"/>
          <w:sz w:val="24"/>
          <w:szCs w:val="24"/>
        </w:rPr>
        <w:t xml:space="preserve"> të cilat nuk janë paraparë në kuadër të programeve të akredituara mësimore</w:t>
      </w:r>
      <w:r w:rsidR="00355D03">
        <w:rPr>
          <w:rFonts w:ascii="Times New Roman" w:hAnsi="Times New Roman" w:cs="Times New Roman"/>
          <w:w w:val="105"/>
          <w:sz w:val="24"/>
          <w:szCs w:val="24"/>
        </w:rPr>
        <w:t>, e si aktivitete të tilla njihen:</w:t>
      </w:r>
    </w:p>
    <w:p w:rsidR="00355D03" w:rsidRPr="00355D03" w:rsidRDefault="00355D03" w:rsidP="00355D03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  <w:r w:rsidRPr="00355D03">
        <w:rPr>
          <w:rFonts w:ascii="Times New Roman" w:hAnsi="Times New Roman" w:cs="Times New Roman"/>
          <w:w w:val="105"/>
          <w:sz w:val="10"/>
          <w:szCs w:val="10"/>
        </w:rPr>
        <w:t xml:space="preserve"> </w:t>
      </w:r>
    </w:p>
    <w:p w:rsidR="00EB04FA" w:rsidRPr="00355D03" w:rsidRDefault="00EB04FA" w:rsidP="00355D03">
      <w:pPr>
        <w:pStyle w:val="NoSpacing"/>
        <w:numPr>
          <w:ilvl w:val="0"/>
          <w:numId w:val="10"/>
        </w:numPr>
        <w:spacing w:line="276" w:lineRule="auto"/>
        <w:ind w:left="1080"/>
        <w:rPr>
          <w:rFonts w:ascii="Times New Roman" w:hAnsi="Times New Roman" w:cs="Times New Roman"/>
          <w:w w:val="105"/>
          <w:sz w:val="24"/>
          <w:szCs w:val="24"/>
        </w:rPr>
      </w:pPr>
      <w:r w:rsidRPr="00355D03">
        <w:rPr>
          <w:rFonts w:ascii="Times New Roman" w:hAnsi="Times New Roman" w:cs="Times New Roman"/>
          <w:w w:val="105"/>
          <w:sz w:val="24"/>
          <w:szCs w:val="24"/>
        </w:rPr>
        <w:t>Ndjekja e kurseve mësimore të ofruara në kuadër të Universitetin Veror,</w:t>
      </w:r>
    </w:p>
    <w:p w:rsidR="00EB04FA" w:rsidRPr="00355D03" w:rsidRDefault="00EB04FA" w:rsidP="00355D03">
      <w:pPr>
        <w:pStyle w:val="NoSpacing"/>
        <w:numPr>
          <w:ilvl w:val="0"/>
          <w:numId w:val="10"/>
        </w:numPr>
        <w:spacing w:line="276" w:lineRule="auto"/>
        <w:ind w:left="1080"/>
        <w:rPr>
          <w:rFonts w:ascii="Times New Roman" w:hAnsi="Times New Roman" w:cs="Times New Roman"/>
          <w:w w:val="105"/>
          <w:sz w:val="24"/>
          <w:szCs w:val="24"/>
        </w:rPr>
      </w:pPr>
      <w:r w:rsidRPr="00355D03">
        <w:rPr>
          <w:rFonts w:ascii="Times New Roman" w:hAnsi="Times New Roman" w:cs="Times New Roman"/>
          <w:w w:val="105"/>
          <w:sz w:val="24"/>
          <w:szCs w:val="24"/>
        </w:rPr>
        <w:t>Ndjekja e kurseve mësimore të ofruara nga Qendrat përkatëse,</w:t>
      </w:r>
    </w:p>
    <w:p w:rsidR="00EB04FA" w:rsidRPr="00355D03" w:rsidRDefault="00EB04FA" w:rsidP="00355D03">
      <w:pPr>
        <w:pStyle w:val="NoSpacing"/>
        <w:numPr>
          <w:ilvl w:val="0"/>
          <w:numId w:val="10"/>
        </w:numPr>
        <w:spacing w:line="276" w:lineRule="auto"/>
        <w:ind w:left="1080"/>
        <w:rPr>
          <w:rFonts w:ascii="Times New Roman" w:hAnsi="Times New Roman" w:cs="Times New Roman"/>
          <w:w w:val="105"/>
          <w:sz w:val="24"/>
          <w:szCs w:val="24"/>
        </w:rPr>
      </w:pPr>
      <w:r w:rsidRPr="00355D03">
        <w:rPr>
          <w:rFonts w:ascii="Times New Roman" w:hAnsi="Times New Roman" w:cs="Times New Roman"/>
          <w:w w:val="105"/>
          <w:sz w:val="24"/>
          <w:szCs w:val="24"/>
        </w:rPr>
        <w:t>Pjesëmarrja aktive në organizime afatshkurtra mësimore</w:t>
      </w:r>
      <w:r w:rsidR="00355D0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55D03">
        <w:rPr>
          <w:rFonts w:ascii="Times New Roman" w:hAnsi="Times New Roman" w:cs="Times New Roman"/>
          <w:w w:val="105"/>
          <w:sz w:val="24"/>
          <w:szCs w:val="24"/>
        </w:rPr>
        <w:t xml:space="preserve">(punëtori, seminare e të ngjashme) të organizuara nga </w:t>
      </w:r>
      <w:r w:rsidR="00355D03">
        <w:rPr>
          <w:rFonts w:ascii="Times New Roman" w:hAnsi="Times New Roman" w:cs="Times New Roman"/>
          <w:w w:val="105"/>
          <w:sz w:val="24"/>
          <w:szCs w:val="24"/>
        </w:rPr>
        <w:t>Kolegji GLOBUS</w:t>
      </w:r>
      <w:r w:rsidRPr="00355D03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EB04FA" w:rsidRDefault="00EB04FA" w:rsidP="00EB04FA">
      <w:pPr>
        <w:pStyle w:val="NoSpacing"/>
        <w:ind w:left="720"/>
        <w:rPr>
          <w:rFonts w:ascii="Times New Roman" w:hAnsi="Times New Roman" w:cs="Times New Roman"/>
          <w:w w:val="105"/>
          <w:sz w:val="24"/>
          <w:szCs w:val="24"/>
        </w:rPr>
      </w:pPr>
    </w:p>
    <w:p w:rsidR="0076087D" w:rsidRPr="00EF422D" w:rsidRDefault="0076087D" w:rsidP="00EB04FA">
      <w:pPr>
        <w:pStyle w:val="NoSpacing"/>
        <w:ind w:left="720"/>
        <w:rPr>
          <w:rFonts w:ascii="Times New Roman" w:hAnsi="Times New Roman" w:cs="Times New Roman"/>
          <w:w w:val="105"/>
          <w:sz w:val="24"/>
          <w:szCs w:val="24"/>
        </w:rPr>
      </w:pPr>
    </w:p>
    <w:p w:rsidR="00EB04FA" w:rsidRPr="00355D03" w:rsidRDefault="00355D03" w:rsidP="00355D03">
      <w:pPr>
        <w:pStyle w:val="Heading2"/>
        <w:jc w:val="center"/>
        <w:rPr>
          <w:rFonts w:ascii="Times New Roman" w:hAnsi="Times New Roman" w:cs="Times New Roman"/>
          <w:b/>
          <w:w w:val="105"/>
        </w:rPr>
      </w:pPr>
      <w:bookmarkStart w:id="9" w:name="_Toc59121448"/>
      <w:r>
        <w:rPr>
          <w:rFonts w:ascii="Times New Roman" w:hAnsi="Times New Roman" w:cs="Times New Roman"/>
          <w:b/>
          <w:w w:val="105"/>
        </w:rPr>
        <w:t>2.4 Mënyra e Llogaritjes së K</w:t>
      </w:r>
      <w:r w:rsidR="00EB04FA" w:rsidRPr="00355D03">
        <w:rPr>
          <w:rFonts w:ascii="Times New Roman" w:hAnsi="Times New Roman" w:cs="Times New Roman"/>
          <w:b/>
          <w:w w:val="105"/>
        </w:rPr>
        <w:t xml:space="preserve">reditve </w:t>
      </w:r>
      <w:r>
        <w:rPr>
          <w:rFonts w:ascii="Times New Roman" w:hAnsi="Times New Roman" w:cs="Times New Roman"/>
          <w:b/>
          <w:w w:val="105"/>
        </w:rPr>
        <w:t xml:space="preserve">- </w:t>
      </w:r>
      <w:r w:rsidR="00EB04FA" w:rsidRPr="00355D03">
        <w:rPr>
          <w:rFonts w:ascii="Times New Roman" w:hAnsi="Times New Roman" w:cs="Times New Roman"/>
          <w:b/>
          <w:w w:val="105"/>
        </w:rPr>
        <w:t>ECTS</w:t>
      </w:r>
      <w:bookmarkEnd w:id="9"/>
    </w:p>
    <w:p w:rsidR="00EB04FA" w:rsidRPr="00355D03" w:rsidRDefault="00EB04FA" w:rsidP="00355D03">
      <w:pPr>
        <w:pStyle w:val="NoSpacing"/>
        <w:jc w:val="center"/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</w:pPr>
      <w:r w:rsidRPr="00355D03"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  <w:t>Neni</w:t>
      </w:r>
      <w:r w:rsidR="00355D03"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  <w:t xml:space="preserve"> 8</w:t>
      </w:r>
    </w:p>
    <w:p w:rsidR="00EB04FA" w:rsidRPr="00EF422D" w:rsidRDefault="00EB04FA" w:rsidP="00EB04FA">
      <w:pPr>
        <w:pStyle w:val="NoSpacing"/>
        <w:rPr>
          <w:rFonts w:ascii="Times New Roman" w:hAnsi="Times New Roman" w:cs="Times New Roman"/>
          <w:color w:val="2D2B2D"/>
          <w:w w:val="105"/>
          <w:sz w:val="24"/>
          <w:szCs w:val="24"/>
        </w:rPr>
      </w:pPr>
    </w:p>
    <w:p w:rsidR="00EB04FA" w:rsidRPr="0076087D" w:rsidRDefault="00EB04FA" w:rsidP="0076087D">
      <w:pPr>
        <w:pStyle w:val="NoSpacing"/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76087D">
        <w:rPr>
          <w:rFonts w:ascii="Times New Roman" w:hAnsi="Times New Roman" w:cs="Times New Roman"/>
          <w:w w:val="105"/>
          <w:sz w:val="24"/>
          <w:szCs w:val="24"/>
        </w:rPr>
        <w:t>Një kredi ECTS korrespondon me ngarkesën e studentit nga 25 deri në 30 orë aktive akademike.</w:t>
      </w:r>
    </w:p>
    <w:p w:rsidR="00355D03" w:rsidRDefault="00355D03" w:rsidP="00EB04FA">
      <w:pPr>
        <w:pStyle w:val="NoSpacing"/>
        <w:rPr>
          <w:rFonts w:ascii="Times New Roman" w:hAnsi="Times New Roman" w:cs="Times New Roman"/>
          <w:color w:val="2D2B2D"/>
          <w:w w:val="105"/>
          <w:sz w:val="23"/>
        </w:rPr>
      </w:pPr>
    </w:p>
    <w:p w:rsidR="0076087D" w:rsidRDefault="0076087D" w:rsidP="00EB04FA">
      <w:pPr>
        <w:pStyle w:val="NoSpacing"/>
        <w:rPr>
          <w:rFonts w:ascii="Times New Roman" w:hAnsi="Times New Roman" w:cs="Times New Roman"/>
          <w:color w:val="2D2B2D"/>
          <w:w w:val="105"/>
          <w:sz w:val="23"/>
        </w:rPr>
      </w:pPr>
    </w:p>
    <w:p w:rsidR="0076087D" w:rsidRDefault="0076087D" w:rsidP="00EB04FA">
      <w:pPr>
        <w:pStyle w:val="NoSpacing"/>
        <w:rPr>
          <w:rFonts w:ascii="Times New Roman" w:hAnsi="Times New Roman" w:cs="Times New Roman"/>
          <w:color w:val="2D2B2D"/>
          <w:w w:val="105"/>
          <w:sz w:val="23"/>
        </w:rPr>
      </w:pPr>
    </w:p>
    <w:p w:rsidR="0076087D" w:rsidRDefault="0076087D" w:rsidP="00EB04FA">
      <w:pPr>
        <w:pStyle w:val="NoSpacing"/>
        <w:rPr>
          <w:rFonts w:ascii="Times New Roman" w:hAnsi="Times New Roman" w:cs="Times New Roman"/>
          <w:color w:val="2D2B2D"/>
          <w:w w:val="105"/>
          <w:sz w:val="23"/>
        </w:rPr>
      </w:pPr>
    </w:p>
    <w:p w:rsidR="0076087D" w:rsidRPr="00EF422D" w:rsidRDefault="0076087D" w:rsidP="00EB04FA">
      <w:pPr>
        <w:pStyle w:val="NoSpacing"/>
        <w:rPr>
          <w:rFonts w:ascii="Times New Roman" w:hAnsi="Times New Roman" w:cs="Times New Roman"/>
          <w:color w:val="2D2B2D"/>
          <w:w w:val="105"/>
          <w:sz w:val="23"/>
        </w:rPr>
      </w:pPr>
    </w:p>
    <w:p w:rsidR="00EB04FA" w:rsidRPr="00355D03" w:rsidRDefault="00355D03" w:rsidP="00355D03">
      <w:pPr>
        <w:pStyle w:val="Heading3"/>
        <w:jc w:val="center"/>
        <w:rPr>
          <w:rFonts w:ascii="Times New Roman" w:hAnsi="Times New Roman" w:cs="Times New Roman"/>
          <w:b/>
          <w:w w:val="105"/>
        </w:rPr>
      </w:pPr>
      <w:bookmarkStart w:id="10" w:name="_Toc59121449"/>
      <w:r>
        <w:rPr>
          <w:rFonts w:ascii="Times New Roman" w:hAnsi="Times New Roman" w:cs="Times New Roman"/>
          <w:b/>
          <w:w w:val="105"/>
        </w:rPr>
        <w:lastRenderedPageBreak/>
        <w:t xml:space="preserve">2.4.1 </w:t>
      </w:r>
      <w:r w:rsidR="00EB04FA" w:rsidRPr="00355D03">
        <w:rPr>
          <w:rFonts w:ascii="Times New Roman" w:hAnsi="Times New Roman" w:cs="Times New Roman"/>
          <w:b/>
          <w:w w:val="105"/>
        </w:rPr>
        <w:t xml:space="preserve">Procedura e ndarjes së kredive </w:t>
      </w:r>
      <w:r>
        <w:rPr>
          <w:rFonts w:ascii="Times New Roman" w:hAnsi="Times New Roman" w:cs="Times New Roman"/>
          <w:b/>
          <w:w w:val="105"/>
        </w:rPr>
        <w:t xml:space="preserve">- </w:t>
      </w:r>
      <w:r w:rsidR="00EB04FA" w:rsidRPr="00355D03">
        <w:rPr>
          <w:rFonts w:ascii="Times New Roman" w:hAnsi="Times New Roman" w:cs="Times New Roman"/>
          <w:b/>
          <w:w w:val="105"/>
        </w:rPr>
        <w:t>ECTS</w:t>
      </w:r>
      <w:bookmarkEnd w:id="10"/>
    </w:p>
    <w:p w:rsidR="00EB04FA" w:rsidRPr="00355D03" w:rsidRDefault="00EB04FA" w:rsidP="00355D03">
      <w:pPr>
        <w:pStyle w:val="NoSpacing"/>
        <w:jc w:val="center"/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</w:pPr>
      <w:r w:rsidRPr="00355D03"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  <w:t xml:space="preserve">Neni </w:t>
      </w:r>
      <w:r w:rsidR="00355D03"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  <w:t>9</w:t>
      </w:r>
    </w:p>
    <w:p w:rsidR="00355D03" w:rsidRDefault="00355D03" w:rsidP="00EB04FA">
      <w:pPr>
        <w:pStyle w:val="NoSpacing"/>
        <w:rPr>
          <w:rFonts w:ascii="Times New Roman" w:hAnsi="Times New Roman" w:cs="Times New Roman"/>
          <w:color w:val="2D2B2D"/>
          <w:w w:val="105"/>
          <w:sz w:val="24"/>
          <w:szCs w:val="24"/>
        </w:rPr>
      </w:pPr>
    </w:p>
    <w:p w:rsidR="00EB04FA" w:rsidRPr="00AD68FD" w:rsidRDefault="00EB04FA" w:rsidP="00354DB9">
      <w:pPr>
        <w:pStyle w:val="NoSpacing"/>
        <w:numPr>
          <w:ilvl w:val="1"/>
          <w:numId w:val="29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AD68FD">
        <w:rPr>
          <w:rFonts w:ascii="Times New Roman" w:hAnsi="Times New Roman" w:cs="Times New Roman"/>
          <w:w w:val="105"/>
          <w:sz w:val="24"/>
          <w:szCs w:val="24"/>
        </w:rPr>
        <w:t xml:space="preserve">Ndarja e kredive </w:t>
      </w:r>
      <w:r w:rsidR="00354DB9" w:rsidRPr="00AD68FD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AD68FD">
        <w:rPr>
          <w:rFonts w:ascii="Times New Roman" w:hAnsi="Times New Roman" w:cs="Times New Roman"/>
          <w:w w:val="105"/>
          <w:sz w:val="24"/>
          <w:szCs w:val="24"/>
        </w:rPr>
        <w:t>ECTS</w:t>
      </w:r>
      <w:r w:rsidR="00354DB9" w:rsidRPr="00AD68FD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AD68FD">
        <w:rPr>
          <w:rFonts w:ascii="Times New Roman" w:hAnsi="Times New Roman" w:cs="Times New Roman"/>
          <w:w w:val="105"/>
          <w:sz w:val="24"/>
          <w:szCs w:val="24"/>
        </w:rPr>
        <w:t xml:space="preserve"> mund të bëhet në bazë të kër</w:t>
      </w:r>
      <w:r w:rsidR="00354DB9" w:rsidRPr="00AD68FD">
        <w:rPr>
          <w:rFonts w:ascii="Times New Roman" w:hAnsi="Times New Roman" w:cs="Times New Roman"/>
          <w:w w:val="105"/>
          <w:sz w:val="24"/>
          <w:szCs w:val="24"/>
        </w:rPr>
        <w:t>kesës së bartësit të aktivitetit</w:t>
      </w:r>
      <w:r w:rsidRPr="00AD68FD">
        <w:rPr>
          <w:rFonts w:ascii="Times New Roman" w:hAnsi="Times New Roman" w:cs="Times New Roman"/>
          <w:w w:val="105"/>
          <w:sz w:val="24"/>
          <w:szCs w:val="24"/>
        </w:rPr>
        <w:t xml:space="preserve"> të caktuar</w:t>
      </w:r>
      <w:r w:rsidR="00354DB9" w:rsidRPr="00AD68FD">
        <w:rPr>
          <w:rFonts w:ascii="Times New Roman" w:hAnsi="Times New Roman" w:cs="Times New Roman"/>
          <w:w w:val="105"/>
          <w:sz w:val="24"/>
          <w:szCs w:val="24"/>
        </w:rPr>
        <w:t>, nëse i njejti</w:t>
      </w:r>
      <w:r w:rsidRPr="00AD68FD">
        <w:rPr>
          <w:rFonts w:ascii="Times New Roman" w:hAnsi="Times New Roman" w:cs="Times New Roman"/>
          <w:w w:val="105"/>
          <w:sz w:val="24"/>
          <w:szCs w:val="24"/>
        </w:rPr>
        <w:t xml:space="preserve"> ka kontratë të rregullt me </w:t>
      </w:r>
      <w:r w:rsidR="00354DB9" w:rsidRPr="00AD68FD">
        <w:rPr>
          <w:rFonts w:ascii="Times New Roman" w:hAnsi="Times New Roman" w:cs="Times New Roman"/>
          <w:w w:val="105"/>
          <w:sz w:val="24"/>
          <w:szCs w:val="24"/>
        </w:rPr>
        <w:t>Kolegjin GLOBUS</w:t>
      </w:r>
      <w:r w:rsidRPr="00AD68FD">
        <w:rPr>
          <w:rFonts w:ascii="Times New Roman" w:hAnsi="Times New Roman" w:cs="Times New Roman"/>
          <w:w w:val="105"/>
          <w:sz w:val="24"/>
          <w:szCs w:val="24"/>
        </w:rPr>
        <w:t xml:space="preserve"> dhe së paku </w:t>
      </w:r>
      <w:r w:rsidR="00354DB9" w:rsidRPr="00AD68FD">
        <w:rPr>
          <w:rFonts w:ascii="Times New Roman" w:hAnsi="Times New Roman" w:cs="Times New Roman"/>
          <w:w w:val="105"/>
          <w:sz w:val="24"/>
          <w:szCs w:val="24"/>
        </w:rPr>
        <w:t>disponon thirrjen akadamike P</w:t>
      </w:r>
      <w:r w:rsidRPr="00AD68FD">
        <w:rPr>
          <w:rFonts w:ascii="Times New Roman" w:hAnsi="Times New Roman" w:cs="Times New Roman"/>
          <w:w w:val="105"/>
          <w:sz w:val="24"/>
          <w:szCs w:val="24"/>
        </w:rPr>
        <w:t>rof. Asistent.</w:t>
      </w:r>
    </w:p>
    <w:p w:rsidR="00354DB9" w:rsidRPr="00AD68FD" w:rsidRDefault="00354DB9" w:rsidP="00354DB9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EB04FA" w:rsidRPr="00AD68FD" w:rsidRDefault="00EB04FA" w:rsidP="00354DB9">
      <w:pPr>
        <w:pStyle w:val="NoSpacing"/>
        <w:numPr>
          <w:ilvl w:val="1"/>
          <w:numId w:val="29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AD68FD">
        <w:rPr>
          <w:rFonts w:ascii="Times New Roman" w:hAnsi="Times New Roman" w:cs="Times New Roman"/>
          <w:w w:val="105"/>
          <w:sz w:val="24"/>
          <w:szCs w:val="24"/>
        </w:rPr>
        <w:t>Kërkesa e bartësit të aktivitetit duhet të paraqitet para se të filloj organizimi i aktivitetit të caktuar dhe të mbështetet në formë të shkruar nga udhëheqësi i organizimit (ngjarjes) në kuadë</w:t>
      </w:r>
      <w:r w:rsidR="00AD68FD">
        <w:rPr>
          <w:rFonts w:ascii="Times New Roman" w:hAnsi="Times New Roman" w:cs="Times New Roman"/>
          <w:w w:val="105"/>
          <w:sz w:val="24"/>
          <w:szCs w:val="24"/>
        </w:rPr>
        <w:t>r</w:t>
      </w:r>
      <w:r w:rsidRPr="00AD68FD">
        <w:rPr>
          <w:rFonts w:ascii="Times New Roman" w:hAnsi="Times New Roman" w:cs="Times New Roman"/>
          <w:w w:val="105"/>
          <w:sz w:val="24"/>
          <w:szCs w:val="24"/>
        </w:rPr>
        <w:t xml:space="preserve"> të të cilit parashihet zhvillimi i aktivitetit respektiv.</w:t>
      </w:r>
    </w:p>
    <w:p w:rsidR="00AD68FD" w:rsidRPr="00AD68FD" w:rsidRDefault="00AD68FD" w:rsidP="00AD68FD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6B127B" w:rsidRPr="00AD68FD" w:rsidRDefault="006B127B" w:rsidP="00354DB9">
      <w:pPr>
        <w:pStyle w:val="NoSpacing"/>
        <w:numPr>
          <w:ilvl w:val="1"/>
          <w:numId w:val="29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AD68FD">
        <w:rPr>
          <w:rFonts w:ascii="Times New Roman" w:hAnsi="Times New Roman" w:cs="Times New Roman"/>
          <w:w w:val="105"/>
          <w:sz w:val="24"/>
          <w:szCs w:val="24"/>
        </w:rPr>
        <w:t>Kërkesa duhet të paraqitet nëpërmjet formularit të standardizuar (m</w:t>
      </w:r>
      <w:r w:rsidR="00AD68FD">
        <w:rPr>
          <w:rFonts w:ascii="Times New Roman" w:hAnsi="Times New Roman" w:cs="Times New Roman"/>
          <w:w w:val="105"/>
          <w:sz w:val="24"/>
          <w:szCs w:val="24"/>
        </w:rPr>
        <w:t xml:space="preserve">und të shkarkohet nga Web faqja </w:t>
      </w:r>
      <w:hyperlink r:id="rId9" w:history="1">
        <w:r w:rsidR="00AD68FD" w:rsidRPr="000C01E9">
          <w:rPr>
            <w:rStyle w:val="Hyperlink"/>
            <w:rFonts w:ascii="Times New Roman" w:hAnsi="Times New Roman" w:cs="Times New Roman"/>
            <w:w w:val="105"/>
            <w:sz w:val="24"/>
            <w:szCs w:val="24"/>
          </w:rPr>
          <w:t>www.kolegjiglobus.com</w:t>
        </w:r>
      </w:hyperlink>
      <w:r w:rsidR="00AD68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D68F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6087D" w:rsidRPr="0076087D" w:rsidRDefault="0076087D" w:rsidP="0076087D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6B127B" w:rsidRPr="00AD68FD" w:rsidRDefault="006B127B" w:rsidP="00354DB9">
      <w:pPr>
        <w:pStyle w:val="NoSpacing"/>
        <w:numPr>
          <w:ilvl w:val="1"/>
          <w:numId w:val="29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AD68FD">
        <w:rPr>
          <w:rFonts w:ascii="Times New Roman" w:hAnsi="Times New Roman" w:cs="Times New Roman"/>
          <w:w w:val="105"/>
          <w:sz w:val="24"/>
          <w:szCs w:val="24"/>
        </w:rPr>
        <w:t xml:space="preserve">Vendimi për ndarjen e kredive </w:t>
      </w:r>
      <w:r w:rsidR="00AD68FD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AD68FD">
        <w:rPr>
          <w:rFonts w:ascii="Times New Roman" w:hAnsi="Times New Roman" w:cs="Times New Roman"/>
          <w:w w:val="105"/>
          <w:sz w:val="24"/>
          <w:szCs w:val="24"/>
        </w:rPr>
        <w:t>ECTS</w:t>
      </w:r>
      <w:r w:rsidR="00AD68FD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AD68FD">
        <w:rPr>
          <w:rFonts w:ascii="Times New Roman" w:hAnsi="Times New Roman" w:cs="Times New Roman"/>
          <w:w w:val="105"/>
          <w:sz w:val="24"/>
          <w:szCs w:val="24"/>
        </w:rPr>
        <w:t xml:space="preserve"> merret në Komisionin e formuar për këtë qëllim dhe nënshkruhet nga Rektori përkatësisht Prorektori përkatës.</w:t>
      </w:r>
    </w:p>
    <w:p w:rsidR="006B127B" w:rsidRDefault="006B127B" w:rsidP="00EB04FA">
      <w:pPr>
        <w:pStyle w:val="NoSpacing"/>
        <w:rPr>
          <w:rFonts w:ascii="Times New Roman" w:hAnsi="Times New Roman" w:cs="Times New Roman"/>
          <w:color w:val="2D2B2D"/>
          <w:w w:val="105"/>
          <w:sz w:val="23"/>
        </w:rPr>
      </w:pPr>
    </w:p>
    <w:p w:rsidR="0076087D" w:rsidRPr="00EF422D" w:rsidRDefault="0076087D" w:rsidP="00EB04FA">
      <w:pPr>
        <w:pStyle w:val="NoSpacing"/>
        <w:rPr>
          <w:rFonts w:ascii="Times New Roman" w:hAnsi="Times New Roman" w:cs="Times New Roman"/>
          <w:color w:val="2D2B2D"/>
          <w:w w:val="105"/>
          <w:sz w:val="23"/>
        </w:rPr>
      </w:pPr>
    </w:p>
    <w:p w:rsidR="006B127B" w:rsidRPr="00E36904" w:rsidRDefault="00E36904" w:rsidP="00E36904">
      <w:pPr>
        <w:pStyle w:val="Heading3"/>
        <w:jc w:val="center"/>
        <w:rPr>
          <w:rFonts w:ascii="Times New Roman" w:hAnsi="Times New Roman" w:cs="Times New Roman"/>
          <w:b/>
          <w:w w:val="105"/>
        </w:rPr>
      </w:pPr>
      <w:bookmarkStart w:id="11" w:name="_Toc59121450"/>
      <w:r>
        <w:rPr>
          <w:rFonts w:ascii="Times New Roman" w:hAnsi="Times New Roman" w:cs="Times New Roman"/>
          <w:b/>
          <w:w w:val="105"/>
        </w:rPr>
        <w:t xml:space="preserve">2.4.2 </w:t>
      </w:r>
      <w:r w:rsidR="006B127B" w:rsidRPr="00E36904">
        <w:rPr>
          <w:rFonts w:ascii="Times New Roman" w:hAnsi="Times New Roman" w:cs="Times New Roman"/>
          <w:b/>
          <w:w w:val="105"/>
        </w:rPr>
        <w:t>Pranimi i kredive ECTS</w:t>
      </w:r>
      <w:bookmarkEnd w:id="11"/>
    </w:p>
    <w:p w:rsidR="006B127B" w:rsidRDefault="00E36904" w:rsidP="00E36904">
      <w:pPr>
        <w:pStyle w:val="NoSpacing"/>
        <w:jc w:val="center"/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  <w:t>Neni 10</w:t>
      </w:r>
    </w:p>
    <w:p w:rsidR="00E36904" w:rsidRPr="00E36904" w:rsidRDefault="00E36904" w:rsidP="00E36904">
      <w:pPr>
        <w:pStyle w:val="NoSpacing"/>
        <w:jc w:val="center"/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</w:pPr>
    </w:p>
    <w:p w:rsidR="00082FD5" w:rsidRPr="00E36904" w:rsidRDefault="006B127B" w:rsidP="00E36904">
      <w:pPr>
        <w:pStyle w:val="ListParagraph"/>
        <w:numPr>
          <w:ilvl w:val="0"/>
          <w:numId w:val="35"/>
        </w:numPr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Studentët të cilët kanë fituar kredi </w:t>
      </w:r>
      <w:r w:rsidR="00E36904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>ECTS</w:t>
      </w:r>
      <w:r w:rsidR="00E36904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 në përputhje me këtë rregullore, mund të parashtrojnë kërkesë pranë </w:t>
      </w:r>
      <w:r w:rsidR="00E36904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jësisë përkatëse akademike për bartjen e kredive </w:t>
      </w:r>
      <w:r w:rsidR="00E36904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>ECTS</w:t>
      </w:r>
      <w:r w:rsidR="00E36904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 në Programin në të cilin ata janë regjistruar, me qëllim të zëvendësimit të pjesshëm ose të plotë të nj</w:t>
      </w:r>
      <w:r w:rsidR="0029299B" w:rsidRPr="00E36904">
        <w:rPr>
          <w:rFonts w:ascii="Times New Roman" w:hAnsi="Times New Roman" w:cs="Times New Roman"/>
          <w:w w:val="105"/>
          <w:sz w:val="24"/>
          <w:szCs w:val="24"/>
        </w:rPr>
        <w:t>ë ose më shumë lëndëve zgjedhore.</w:t>
      </w:r>
    </w:p>
    <w:p w:rsidR="00E36904" w:rsidRPr="00E36904" w:rsidRDefault="00E36904" w:rsidP="00E36904">
      <w:pPr>
        <w:pStyle w:val="ListParagraph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29299B" w:rsidRPr="00E36904" w:rsidRDefault="0029299B" w:rsidP="00E36904">
      <w:pPr>
        <w:pStyle w:val="ListParagraph"/>
        <w:numPr>
          <w:ilvl w:val="0"/>
          <w:numId w:val="35"/>
        </w:numPr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Bartja e kredive lejohet në këto raste: </w:t>
      </w:r>
    </w:p>
    <w:p w:rsidR="0029299B" w:rsidRPr="00E36904" w:rsidRDefault="0029299B" w:rsidP="00E36904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Nëse studenti iu ka nënshtruar provimit në </w:t>
      </w:r>
      <w:r w:rsidR="00E36904" w:rsidRPr="00E36904">
        <w:rPr>
          <w:rFonts w:ascii="Times New Roman" w:hAnsi="Times New Roman" w:cs="Times New Roman"/>
          <w:w w:val="105"/>
          <w:sz w:val="24"/>
          <w:szCs w:val="24"/>
        </w:rPr>
        <w:t>lëndën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 e caktuar në kuadër të aktiviteteve jashtë programeve mësimore dhe përmbajtja e aktivitetit përputhet në masën 70% ose më shumë me përmbajtjen e lëndës së caktuar zgjedhore, të njëjtit i pranohet në tërësi kursi, nota dhe kreditë </w:t>
      </w:r>
      <w:r w:rsidR="00E36904" w:rsidRPr="00E36904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>ECTS</w:t>
      </w:r>
      <w:r w:rsidR="00E36904" w:rsidRPr="00E36904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 të fituara.</w:t>
      </w:r>
    </w:p>
    <w:p w:rsidR="00E36904" w:rsidRPr="00E36904" w:rsidRDefault="00E36904" w:rsidP="00E36904">
      <w:pPr>
        <w:pStyle w:val="NoSpacing"/>
        <w:spacing w:line="276" w:lineRule="auto"/>
        <w:ind w:left="720"/>
        <w:rPr>
          <w:rFonts w:ascii="Times New Roman" w:hAnsi="Times New Roman" w:cs="Times New Roman"/>
          <w:w w:val="105"/>
          <w:sz w:val="10"/>
          <w:szCs w:val="10"/>
        </w:rPr>
      </w:pPr>
    </w:p>
    <w:p w:rsidR="0029299B" w:rsidRPr="00E36904" w:rsidRDefault="0029299B" w:rsidP="00E36904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Në rast se numri i kredive </w:t>
      </w:r>
      <w:r w:rsidR="00E36904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>ECTS</w:t>
      </w:r>
      <w:r w:rsidR="00E36904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 të </w:t>
      </w:r>
      <w:r w:rsidR="00E36904">
        <w:rPr>
          <w:rFonts w:ascii="Times New Roman" w:hAnsi="Times New Roman" w:cs="Times New Roman"/>
          <w:w w:val="105"/>
          <w:sz w:val="24"/>
          <w:szCs w:val="24"/>
        </w:rPr>
        <w:t>lëndës s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ë pranuar nga aktivitetet jashtë programeve mësimore nuk përputhet me numrin e kredive </w:t>
      </w:r>
      <w:r w:rsidR="00E36904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>ECTS</w:t>
      </w:r>
      <w:r w:rsidR="00E36904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 të lëndës zgjedhore respektive, kompenzimin e ECTS-ve studenti duhet ta realizojë me ndonjë lëndë tjetër zgjedhore që ofrohet në programin ku i njëjti është regjistruar.</w:t>
      </w:r>
    </w:p>
    <w:p w:rsidR="00E36904" w:rsidRPr="00E36904" w:rsidRDefault="00E36904" w:rsidP="00E36904">
      <w:pPr>
        <w:pStyle w:val="NoSpacing"/>
        <w:spacing w:line="276" w:lineRule="auto"/>
        <w:ind w:left="720"/>
        <w:rPr>
          <w:rFonts w:ascii="Times New Roman" w:hAnsi="Times New Roman" w:cs="Times New Roman"/>
          <w:w w:val="105"/>
          <w:sz w:val="10"/>
          <w:szCs w:val="10"/>
        </w:rPr>
      </w:pPr>
    </w:p>
    <w:p w:rsidR="0029299B" w:rsidRPr="00E36904" w:rsidRDefault="0029299B" w:rsidP="00E36904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Nëse studenti ka ndjekur </w:t>
      </w:r>
      <w:r w:rsidR="00E36904">
        <w:rPr>
          <w:rFonts w:ascii="Times New Roman" w:hAnsi="Times New Roman" w:cs="Times New Roman"/>
          <w:w w:val="105"/>
          <w:sz w:val="24"/>
          <w:szCs w:val="24"/>
        </w:rPr>
        <w:t>lëndën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 e caktuar në kuadër të aktiviteteve jashtë programeve mësimore (por nuk i është nënshtruar provimit) dhe përmbajtja e aktivitetet përputhet në masën 70% ose më shumë me lëndën e caktuar zgjedhore, studenti ka të drejtë ti nënshtrohet provimit në lëndëm përkatëse zgjedhore pa e dëgjuar të njëjtën. Në rast të përfundimit me sukses të provimit, studenti merr kreditë </w:t>
      </w:r>
      <w:r w:rsidR="00E36904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>ECTS</w:t>
      </w:r>
      <w:r w:rsidR="00E36904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E36904">
        <w:rPr>
          <w:rFonts w:ascii="Times New Roman" w:hAnsi="Times New Roman" w:cs="Times New Roman"/>
          <w:w w:val="105"/>
          <w:sz w:val="24"/>
          <w:szCs w:val="24"/>
        </w:rPr>
        <w:t xml:space="preserve"> të parapara për lëndën zgjedhore respektive në kuadër të programit përkatës.</w:t>
      </w:r>
    </w:p>
    <w:p w:rsidR="00E36904" w:rsidRPr="00E36904" w:rsidRDefault="00E36904" w:rsidP="00E36904">
      <w:pPr>
        <w:pStyle w:val="NoSpacing"/>
        <w:spacing w:line="276" w:lineRule="auto"/>
        <w:ind w:left="720"/>
        <w:rPr>
          <w:rFonts w:ascii="Times New Roman" w:hAnsi="Times New Roman" w:cs="Times New Roman"/>
          <w:w w:val="105"/>
          <w:sz w:val="10"/>
          <w:szCs w:val="10"/>
        </w:rPr>
      </w:pPr>
    </w:p>
    <w:p w:rsidR="0029299B" w:rsidRDefault="0029299B" w:rsidP="00E36904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E36904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Nëse studentit nuk i  pranohen kreditë </w:t>
      </w:r>
      <w:r w:rsidR="00C05DDE" w:rsidRPr="00E36904">
        <w:rPr>
          <w:rFonts w:ascii="Times New Roman" w:hAnsi="Times New Roman" w:cs="Times New Roman"/>
          <w:w w:val="105"/>
          <w:sz w:val="24"/>
          <w:szCs w:val="24"/>
        </w:rPr>
        <w:t>ECTS për shkak të mospërputhjes së përmbajtjes  në masën e kërkuar me lëndët e programit në të cilën ai është i regjistruar, kreditë ECTS të njëjtit i barten në Shtojcën e Diplomës.</w:t>
      </w:r>
    </w:p>
    <w:p w:rsidR="00B73A81" w:rsidRPr="00B73A81" w:rsidRDefault="00B73A81" w:rsidP="00B73A81">
      <w:pPr>
        <w:pStyle w:val="ListParagraph"/>
        <w:rPr>
          <w:rFonts w:ascii="Times New Roman" w:hAnsi="Times New Roman" w:cs="Times New Roman"/>
          <w:w w:val="105"/>
          <w:sz w:val="10"/>
          <w:szCs w:val="10"/>
        </w:rPr>
      </w:pPr>
    </w:p>
    <w:p w:rsidR="00C05DDE" w:rsidRPr="00B73A81" w:rsidRDefault="00C05DDE" w:rsidP="00B73A81">
      <w:pPr>
        <w:pStyle w:val="NoSpacing"/>
        <w:numPr>
          <w:ilvl w:val="0"/>
          <w:numId w:val="35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B73A81">
        <w:rPr>
          <w:rFonts w:ascii="Times New Roman" w:hAnsi="Times New Roman" w:cs="Times New Roman"/>
          <w:w w:val="105"/>
          <w:sz w:val="24"/>
          <w:szCs w:val="24"/>
        </w:rPr>
        <w:t xml:space="preserve">Si aktivitet jashtë programeve mësimore nuk mund të llogaritet </w:t>
      </w:r>
      <w:r w:rsidR="00B73A81">
        <w:rPr>
          <w:rFonts w:ascii="Times New Roman" w:hAnsi="Times New Roman" w:cs="Times New Roman"/>
          <w:w w:val="105"/>
          <w:sz w:val="24"/>
          <w:szCs w:val="24"/>
        </w:rPr>
        <w:t>lënda apo moduli</w:t>
      </w:r>
      <w:r w:rsidRPr="00B73A81">
        <w:rPr>
          <w:rFonts w:ascii="Times New Roman" w:hAnsi="Times New Roman" w:cs="Times New Roman"/>
          <w:w w:val="105"/>
          <w:sz w:val="24"/>
          <w:szCs w:val="24"/>
        </w:rPr>
        <w:t xml:space="preserve"> nëse i njëjti ofrohet në programet e akredituara në të cilat është regjistruar studenti.</w:t>
      </w:r>
    </w:p>
    <w:p w:rsidR="00B73A81" w:rsidRPr="00B73A81" w:rsidRDefault="00B73A81" w:rsidP="00B73A81">
      <w:pPr>
        <w:pStyle w:val="NoSpacing"/>
        <w:spacing w:line="276" w:lineRule="auto"/>
        <w:ind w:left="360"/>
        <w:rPr>
          <w:rFonts w:ascii="Times New Roman" w:hAnsi="Times New Roman" w:cs="Times New Roman"/>
          <w:w w:val="105"/>
          <w:sz w:val="10"/>
          <w:szCs w:val="10"/>
        </w:rPr>
      </w:pPr>
    </w:p>
    <w:p w:rsidR="00C05DDE" w:rsidRPr="00B73A81" w:rsidRDefault="00C05DDE" w:rsidP="00B73A81">
      <w:pPr>
        <w:pStyle w:val="NoSpacing"/>
        <w:numPr>
          <w:ilvl w:val="0"/>
          <w:numId w:val="35"/>
        </w:numPr>
        <w:spacing w:line="276" w:lineRule="auto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B73A81">
        <w:rPr>
          <w:rFonts w:ascii="Times New Roman" w:hAnsi="Times New Roman" w:cs="Times New Roman"/>
          <w:w w:val="105"/>
          <w:sz w:val="24"/>
          <w:szCs w:val="24"/>
        </w:rPr>
        <w:t xml:space="preserve">Komisioni i studimeve në nivel të </w:t>
      </w:r>
      <w:r w:rsidR="00B73A81">
        <w:rPr>
          <w:rFonts w:ascii="Times New Roman" w:hAnsi="Times New Roman" w:cs="Times New Roman"/>
          <w:w w:val="105"/>
          <w:sz w:val="24"/>
          <w:szCs w:val="24"/>
        </w:rPr>
        <w:t>Kolegjit GLOBUS</w:t>
      </w:r>
      <w:r w:rsidRPr="00B73A81">
        <w:rPr>
          <w:rFonts w:ascii="Times New Roman" w:hAnsi="Times New Roman" w:cs="Times New Roman"/>
          <w:w w:val="105"/>
          <w:sz w:val="24"/>
          <w:szCs w:val="24"/>
        </w:rPr>
        <w:t xml:space="preserve"> është përgjegjësi për shqyrtimin e kërkesës dhe nxjerrjen e vendimit përkatës në lidhje me pranimin e kredive </w:t>
      </w:r>
      <w:r w:rsidR="00B73A81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B73A81">
        <w:rPr>
          <w:rFonts w:ascii="Times New Roman" w:hAnsi="Times New Roman" w:cs="Times New Roman"/>
          <w:w w:val="105"/>
          <w:sz w:val="24"/>
          <w:szCs w:val="24"/>
        </w:rPr>
        <w:t>ECTS</w:t>
      </w:r>
      <w:r w:rsidR="00B73A81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B73A81">
        <w:rPr>
          <w:rFonts w:ascii="Times New Roman" w:hAnsi="Times New Roman" w:cs="Times New Roman"/>
          <w:w w:val="105"/>
          <w:sz w:val="24"/>
          <w:szCs w:val="24"/>
        </w:rPr>
        <w:t xml:space="preserve"> të fituara në përputhje me këtë rregullore.</w:t>
      </w:r>
    </w:p>
    <w:p w:rsidR="00C05DDE" w:rsidRDefault="00C05DDE" w:rsidP="00C05DDE">
      <w:pPr>
        <w:pStyle w:val="NoSpacing"/>
        <w:rPr>
          <w:rFonts w:ascii="Times New Roman" w:hAnsi="Times New Roman" w:cs="Times New Roman"/>
          <w:color w:val="2D2B2D"/>
          <w:w w:val="105"/>
          <w:sz w:val="23"/>
        </w:rPr>
      </w:pPr>
    </w:p>
    <w:p w:rsidR="0076087D" w:rsidRPr="00EF422D" w:rsidRDefault="0076087D" w:rsidP="00C05DDE">
      <w:pPr>
        <w:pStyle w:val="NoSpacing"/>
        <w:rPr>
          <w:rFonts w:ascii="Times New Roman" w:hAnsi="Times New Roman" w:cs="Times New Roman"/>
          <w:color w:val="2D2B2D"/>
          <w:w w:val="105"/>
          <w:sz w:val="23"/>
        </w:rPr>
      </w:pPr>
    </w:p>
    <w:p w:rsidR="00C05DDE" w:rsidRPr="00196891" w:rsidRDefault="00196891" w:rsidP="00196891">
      <w:pPr>
        <w:pStyle w:val="Heading2"/>
        <w:jc w:val="center"/>
        <w:rPr>
          <w:rFonts w:ascii="Times New Roman" w:hAnsi="Times New Roman" w:cs="Times New Roman"/>
          <w:b/>
          <w:w w:val="105"/>
        </w:rPr>
      </w:pPr>
      <w:bookmarkStart w:id="12" w:name="_Toc59121451"/>
      <w:r>
        <w:rPr>
          <w:rFonts w:ascii="Times New Roman" w:hAnsi="Times New Roman" w:cs="Times New Roman"/>
          <w:b/>
          <w:w w:val="105"/>
        </w:rPr>
        <w:t>2.5 Raportimi në Lidhje me A</w:t>
      </w:r>
      <w:r w:rsidR="00C05DDE" w:rsidRPr="00196891">
        <w:rPr>
          <w:rFonts w:ascii="Times New Roman" w:hAnsi="Times New Roman" w:cs="Times New Roman"/>
          <w:b/>
          <w:w w:val="105"/>
        </w:rPr>
        <w:t>k</w:t>
      </w:r>
      <w:r>
        <w:rPr>
          <w:rFonts w:ascii="Times New Roman" w:hAnsi="Times New Roman" w:cs="Times New Roman"/>
          <w:b/>
          <w:w w:val="105"/>
        </w:rPr>
        <w:t>tivitetet Jashtë P</w:t>
      </w:r>
      <w:r w:rsidR="00C05DDE" w:rsidRPr="00196891">
        <w:rPr>
          <w:rFonts w:ascii="Times New Roman" w:hAnsi="Times New Roman" w:cs="Times New Roman"/>
          <w:b/>
          <w:w w:val="105"/>
        </w:rPr>
        <w:t xml:space="preserve">rogrameve </w:t>
      </w:r>
      <w:r>
        <w:rPr>
          <w:rFonts w:ascii="Times New Roman" w:hAnsi="Times New Roman" w:cs="Times New Roman"/>
          <w:b/>
          <w:w w:val="105"/>
        </w:rPr>
        <w:t>M</w:t>
      </w:r>
      <w:r w:rsidR="00C05DDE" w:rsidRPr="00196891">
        <w:rPr>
          <w:rFonts w:ascii="Times New Roman" w:hAnsi="Times New Roman" w:cs="Times New Roman"/>
          <w:b/>
          <w:w w:val="105"/>
        </w:rPr>
        <w:t>ësimore</w:t>
      </w:r>
      <w:bookmarkEnd w:id="12"/>
    </w:p>
    <w:p w:rsidR="00C05DDE" w:rsidRPr="00196891" w:rsidRDefault="00C05DDE" w:rsidP="00196891">
      <w:pPr>
        <w:pStyle w:val="NoSpacing"/>
        <w:jc w:val="center"/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</w:pPr>
      <w:r w:rsidRPr="00196891"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  <w:t>Neni</w:t>
      </w:r>
      <w:r w:rsidR="00196891"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  <w:t xml:space="preserve"> </w:t>
      </w:r>
      <w:r w:rsidRPr="00196891"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  <w:t>1</w:t>
      </w:r>
      <w:r w:rsidR="00196891"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  <w:t>1</w:t>
      </w:r>
    </w:p>
    <w:p w:rsidR="00196891" w:rsidRDefault="00196891" w:rsidP="00196891">
      <w:pPr>
        <w:pStyle w:val="NoSpacing"/>
        <w:spacing w:line="276" w:lineRule="auto"/>
        <w:rPr>
          <w:rFonts w:ascii="Times New Roman" w:hAnsi="Times New Roman" w:cs="Times New Roman"/>
          <w:color w:val="2D2B2D"/>
          <w:w w:val="105"/>
          <w:sz w:val="24"/>
          <w:szCs w:val="24"/>
        </w:rPr>
      </w:pPr>
    </w:p>
    <w:p w:rsidR="00196891" w:rsidRPr="0076087D" w:rsidRDefault="00C05DDE" w:rsidP="00196891">
      <w:pPr>
        <w:pStyle w:val="NoSpacing"/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76087D">
        <w:rPr>
          <w:rFonts w:ascii="Times New Roman" w:hAnsi="Times New Roman" w:cs="Times New Roman"/>
          <w:w w:val="105"/>
          <w:sz w:val="24"/>
          <w:szCs w:val="24"/>
        </w:rPr>
        <w:t xml:space="preserve">Pas përfundimit të aktiviteteve jashtë programeve mësimore, udhëheqësi i organizimit të tillë është i obliguar që ti ofroj Raportin përkatës Rektorit brenda 3 muajve </w:t>
      </w:r>
      <w:r w:rsidR="00196891" w:rsidRPr="0076087D">
        <w:rPr>
          <w:rFonts w:ascii="Times New Roman" w:hAnsi="Times New Roman" w:cs="Times New Roman"/>
          <w:w w:val="105"/>
          <w:sz w:val="24"/>
          <w:szCs w:val="24"/>
        </w:rPr>
        <w:t>pas përfundimit të aktiviteteve.</w:t>
      </w:r>
    </w:p>
    <w:p w:rsidR="00196891" w:rsidRPr="0076087D" w:rsidRDefault="00196891" w:rsidP="00196891">
      <w:pPr>
        <w:pStyle w:val="NoSpacing"/>
        <w:spacing w:line="276" w:lineRule="auto"/>
        <w:rPr>
          <w:rFonts w:ascii="Times New Roman" w:hAnsi="Times New Roman" w:cs="Times New Roman"/>
          <w:w w:val="105"/>
          <w:sz w:val="10"/>
          <w:szCs w:val="10"/>
        </w:rPr>
      </w:pPr>
    </w:p>
    <w:p w:rsidR="00C05DDE" w:rsidRPr="0076087D" w:rsidRDefault="00C05DDE" w:rsidP="00196891">
      <w:pPr>
        <w:pStyle w:val="NoSpacing"/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76087D">
        <w:rPr>
          <w:rFonts w:ascii="Times New Roman" w:hAnsi="Times New Roman" w:cs="Times New Roman"/>
          <w:w w:val="105"/>
          <w:sz w:val="24"/>
          <w:szCs w:val="24"/>
        </w:rPr>
        <w:t xml:space="preserve">Raporti duhet të përmbaj të dhënat në lidhje me aktivitetet e realizuara, pjesëmarrësit dhe cilësinë e pjesëmarrjes së tyre, rezultatet e të nxënit, kreditë </w:t>
      </w:r>
      <w:r w:rsidR="00196891" w:rsidRPr="0076087D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76087D">
        <w:rPr>
          <w:rFonts w:ascii="Times New Roman" w:hAnsi="Times New Roman" w:cs="Times New Roman"/>
          <w:w w:val="105"/>
          <w:sz w:val="24"/>
          <w:szCs w:val="24"/>
        </w:rPr>
        <w:t>ECTS</w:t>
      </w:r>
      <w:r w:rsidR="00196891" w:rsidRPr="0076087D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76087D">
        <w:rPr>
          <w:rFonts w:ascii="Times New Roman" w:hAnsi="Times New Roman" w:cs="Times New Roman"/>
          <w:w w:val="105"/>
          <w:sz w:val="24"/>
          <w:szCs w:val="24"/>
        </w:rPr>
        <w:t xml:space="preserve"> dhe certifikatat e lëshuara.</w:t>
      </w:r>
    </w:p>
    <w:p w:rsidR="00C05DDE" w:rsidRPr="00EF422D" w:rsidRDefault="00C05DDE" w:rsidP="00C05DDE">
      <w:pPr>
        <w:pStyle w:val="NoSpacing"/>
        <w:rPr>
          <w:rFonts w:ascii="Times New Roman" w:hAnsi="Times New Roman" w:cs="Times New Roman"/>
          <w:color w:val="2D2B2D"/>
          <w:w w:val="105"/>
          <w:sz w:val="23"/>
        </w:rPr>
      </w:pPr>
    </w:p>
    <w:p w:rsidR="00C05DDE" w:rsidRPr="00196891" w:rsidRDefault="00196891" w:rsidP="00196891">
      <w:pPr>
        <w:pStyle w:val="Heading1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bookmarkStart w:id="13" w:name="_Toc59121452"/>
      <w:r w:rsidRPr="00196891">
        <w:rPr>
          <w:rFonts w:ascii="Times New Roman" w:hAnsi="Times New Roman" w:cs="Times New Roman"/>
          <w:b/>
          <w:w w:val="105"/>
          <w:sz w:val="28"/>
          <w:szCs w:val="28"/>
        </w:rPr>
        <w:t>DISPOZITAT KALIMTARE</w:t>
      </w:r>
      <w:bookmarkEnd w:id="13"/>
    </w:p>
    <w:p w:rsidR="00C05DDE" w:rsidRPr="00196891" w:rsidRDefault="00196891" w:rsidP="00196891">
      <w:pPr>
        <w:pStyle w:val="NoSpacing"/>
        <w:jc w:val="center"/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2D2B2D"/>
          <w:w w:val="105"/>
          <w:sz w:val="24"/>
          <w:szCs w:val="24"/>
        </w:rPr>
        <w:t>Neni 12</w:t>
      </w:r>
    </w:p>
    <w:p w:rsidR="00196891" w:rsidRDefault="00196891" w:rsidP="00C05DDE">
      <w:pPr>
        <w:pStyle w:val="NoSpacing"/>
        <w:rPr>
          <w:rFonts w:ascii="Times New Roman" w:hAnsi="Times New Roman" w:cs="Times New Roman"/>
          <w:color w:val="2D2B2D"/>
          <w:w w:val="105"/>
          <w:sz w:val="24"/>
          <w:szCs w:val="24"/>
        </w:rPr>
      </w:pPr>
    </w:p>
    <w:p w:rsidR="00C05DDE" w:rsidRPr="0076087D" w:rsidRDefault="00C05DDE" w:rsidP="00196891">
      <w:pPr>
        <w:pStyle w:val="NoSpacing"/>
        <w:spacing w:line="276" w:lineRule="auto"/>
        <w:rPr>
          <w:rFonts w:ascii="Times New Roman" w:hAnsi="Times New Roman" w:cs="Times New Roman"/>
          <w:w w:val="105"/>
          <w:sz w:val="23"/>
        </w:rPr>
      </w:pPr>
      <w:r w:rsidRPr="0076087D">
        <w:rPr>
          <w:rFonts w:ascii="Times New Roman" w:hAnsi="Times New Roman" w:cs="Times New Roman"/>
          <w:w w:val="105"/>
          <w:sz w:val="24"/>
          <w:szCs w:val="24"/>
        </w:rPr>
        <w:t>Dispozitat e k</w:t>
      </w:r>
      <w:r w:rsidRPr="0076087D">
        <w:rPr>
          <w:rFonts w:ascii="Times New Roman" w:hAnsi="Times New Roman" w:cs="Times New Roman"/>
          <w:w w:val="105"/>
          <w:sz w:val="23"/>
        </w:rPr>
        <w:t xml:space="preserve">ësaj Rregulloreje hyjnë në fuqi nga dita e miratimit në </w:t>
      </w:r>
      <w:r w:rsidR="00196891" w:rsidRPr="0076087D">
        <w:rPr>
          <w:rFonts w:ascii="Times New Roman" w:hAnsi="Times New Roman" w:cs="Times New Roman"/>
          <w:w w:val="105"/>
          <w:sz w:val="23"/>
        </w:rPr>
        <w:t>Këshillin Drejtues të Kolegjit GLOBUS</w:t>
      </w:r>
      <w:r w:rsidRPr="0076087D">
        <w:rPr>
          <w:rFonts w:ascii="Times New Roman" w:hAnsi="Times New Roman" w:cs="Times New Roman"/>
          <w:w w:val="105"/>
          <w:sz w:val="23"/>
        </w:rPr>
        <w:t>.</w:t>
      </w:r>
    </w:p>
    <w:p w:rsidR="00C05DDE" w:rsidRPr="0076087D" w:rsidRDefault="00C05DDE" w:rsidP="00C05DDE">
      <w:pPr>
        <w:pStyle w:val="NoSpacing"/>
        <w:rPr>
          <w:rFonts w:ascii="Times New Roman" w:hAnsi="Times New Roman" w:cs="Times New Roman"/>
          <w:w w:val="105"/>
          <w:sz w:val="23"/>
        </w:rPr>
      </w:pPr>
    </w:p>
    <w:p w:rsidR="00C05DDE" w:rsidRPr="0076087D" w:rsidRDefault="00C05DDE" w:rsidP="00C05DDE">
      <w:pPr>
        <w:pStyle w:val="NoSpacing"/>
        <w:rPr>
          <w:rFonts w:ascii="Times New Roman" w:hAnsi="Times New Roman" w:cs="Times New Roman"/>
          <w:w w:val="105"/>
          <w:sz w:val="23"/>
        </w:rPr>
      </w:pPr>
    </w:p>
    <w:p w:rsidR="00C05DDE" w:rsidRPr="0076087D" w:rsidRDefault="00C05DDE" w:rsidP="00C05DDE">
      <w:pPr>
        <w:pStyle w:val="NoSpacing"/>
        <w:rPr>
          <w:rFonts w:ascii="Times New Roman" w:hAnsi="Times New Roman" w:cs="Times New Roman"/>
          <w:w w:val="105"/>
          <w:sz w:val="23"/>
        </w:rPr>
      </w:pPr>
    </w:p>
    <w:p w:rsidR="00C05DDE" w:rsidRPr="0076087D" w:rsidRDefault="00C05DDE" w:rsidP="00C05DDE">
      <w:pPr>
        <w:pStyle w:val="NoSpacing"/>
        <w:rPr>
          <w:rFonts w:ascii="Times New Roman" w:hAnsi="Times New Roman" w:cs="Times New Roman"/>
          <w:w w:val="105"/>
          <w:sz w:val="23"/>
        </w:rPr>
      </w:pPr>
    </w:p>
    <w:p w:rsidR="00C05DDE" w:rsidRPr="0076087D" w:rsidRDefault="00196891" w:rsidP="00C05DDE">
      <w:pPr>
        <w:pStyle w:val="NoSpacing"/>
        <w:rPr>
          <w:rFonts w:ascii="Times New Roman" w:hAnsi="Times New Roman" w:cs="Times New Roman"/>
          <w:w w:val="105"/>
          <w:sz w:val="23"/>
        </w:rPr>
      </w:pPr>
      <w:r w:rsidRPr="0076087D">
        <w:rPr>
          <w:rFonts w:ascii="Times New Roman" w:hAnsi="Times New Roman" w:cs="Times New Roman"/>
          <w:w w:val="105"/>
          <w:sz w:val="23"/>
        </w:rPr>
        <w:t>Kryetari i Bordit Drejtues</w:t>
      </w:r>
    </w:p>
    <w:p w:rsidR="00196891" w:rsidRPr="0076087D" w:rsidRDefault="00196891" w:rsidP="00C05DDE">
      <w:pPr>
        <w:pStyle w:val="NoSpacing"/>
        <w:rPr>
          <w:rFonts w:ascii="Times New Roman" w:hAnsi="Times New Roman" w:cs="Times New Roman"/>
          <w:w w:val="105"/>
          <w:sz w:val="23"/>
        </w:rPr>
      </w:pPr>
      <w:r w:rsidRPr="0076087D">
        <w:rPr>
          <w:rFonts w:ascii="Times New Roman" w:hAnsi="Times New Roman" w:cs="Times New Roman"/>
          <w:w w:val="105"/>
          <w:sz w:val="23"/>
        </w:rPr>
        <w:t>Emri dhe Mbiemri:</w:t>
      </w:r>
    </w:p>
    <w:p w:rsidR="00196891" w:rsidRPr="0076087D" w:rsidRDefault="00196891" w:rsidP="00C05DDE">
      <w:pPr>
        <w:pStyle w:val="NoSpacing"/>
        <w:rPr>
          <w:rFonts w:ascii="Times New Roman" w:hAnsi="Times New Roman" w:cs="Times New Roman"/>
          <w:w w:val="105"/>
          <w:sz w:val="23"/>
        </w:rPr>
      </w:pPr>
    </w:p>
    <w:p w:rsidR="00196891" w:rsidRPr="0076087D" w:rsidRDefault="00196891" w:rsidP="00C05DDE">
      <w:pPr>
        <w:pStyle w:val="NoSpacing"/>
        <w:rPr>
          <w:rFonts w:ascii="Times New Roman" w:hAnsi="Times New Roman" w:cs="Times New Roman"/>
          <w:w w:val="105"/>
          <w:sz w:val="23"/>
        </w:rPr>
      </w:pPr>
      <w:r w:rsidRPr="0076087D">
        <w:rPr>
          <w:rFonts w:ascii="Times New Roman" w:hAnsi="Times New Roman" w:cs="Times New Roman"/>
          <w:w w:val="105"/>
          <w:sz w:val="23"/>
        </w:rPr>
        <w:t>_____________________</w:t>
      </w:r>
    </w:p>
    <w:p w:rsidR="00C05DDE" w:rsidRPr="0076087D" w:rsidRDefault="00196891" w:rsidP="00C05DDE">
      <w:pPr>
        <w:pStyle w:val="NoSpacing"/>
        <w:rPr>
          <w:rFonts w:ascii="Times New Roman" w:hAnsi="Times New Roman" w:cs="Times New Roman"/>
          <w:w w:val="105"/>
          <w:sz w:val="23"/>
        </w:rPr>
      </w:pPr>
      <w:r w:rsidRPr="0076087D">
        <w:rPr>
          <w:rFonts w:ascii="Times New Roman" w:hAnsi="Times New Roman" w:cs="Times New Roman"/>
          <w:w w:val="105"/>
          <w:sz w:val="23"/>
        </w:rPr>
        <w:t>Nënshkrimi</w:t>
      </w:r>
    </w:p>
    <w:p w:rsidR="00C05DDE" w:rsidRPr="00EF422D" w:rsidRDefault="00C05DDE" w:rsidP="00C05DDE">
      <w:pPr>
        <w:pStyle w:val="NoSpacing"/>
        <w:rPr>
          <w:rFonts w:ascii="Times New Roman" w:hAnsi="Times New Roman" w:cs="Times New Roman"/>
          <w:color w:val="2D2B2D"/>
          <w:w w:val="105"/>
          <w:sz w:val="23"/>
        </w:rPr>
      </w:pPr>
    </w:p>
    <w:p w:rsidR="00C05DDE" w:rsidRPr="00EF422D" w:rsidRDefault="00C05DDE" w:rsidP="00C05DDE">
      <w:pPr>
        <w:pStyle w:val="NoSpacing"/>
        <w:rPr>
          <w:rFonts w:ascii="Times New Roman" w:hAnsi="Times New Roman" w:cs="Times New Roman"/>
          <w:w w:val="105"/>
          <w:sz w:val="24"/>
          <w:szCs w:val="24"/>
        </w:rPr>
      </w:pPr>
    </w:p>
    <w:p w:rsidR="00AE50F4" w:rsidRPr="00EF422D" w:rsidRDefault="00AE50F4" w:rsidP="00082FD5">
      <w:pPr>
        <w:pStyle w:val="ListParagraph"/>
        <w:widowControl w:val="0"/>
        <w:tabs>
          <w:tab w:val="left" w:pos="2163"/>
        </w:tabs>
        <w:autoSpaceDE w:val="0"/>
        <w:autoSpaceDN w:val="0"/>
        <w:spacing w:before="0" w:after="0" w:line="255" w:lineRule="exact"/>
        <w:ind w:left="1980"/>
        <w:contextualSpacing w:val="0"/>
        <w:rPr>
          <w:rFonts w:ascii="Times New Roman" w:hAnsi="Times New Roman" w:cs="Times New Roman"/>
          <w:color w:val="2D2B2D"/>
          <w:w w:val="105"/>
          <w:sz w:val="23"/>
        </w:rPr>
      </w:pPr>
    </w:p>
    <w:p w:rsidR="00482121" w:rsidRPr="00196891" w:rsidRDefault="00482121" w:rsidP="00196891">
      <w:pPr>
        <w:pStyle w:val="ListParagraph"/>
        <w:widowControl w:val="0"/>
        <w:tabs>
          <w:tab w:val="left" w:pos="2163"/>
        </w:tabs>
        <w:autoSpaceDE w:val="0"/>
        <w:autoSpaceDN w:val="0"/>
        <w:spacing w:before="0" w:after="0" w:line="255" w:lineRule="exact"/>
        <w:ind w:left="1980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196891"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                           </w:t>
      </w:r>
    </w:p>
    <w:p w:rsidR="00082FD5" w:rsidRPr="00196891" w:rsidRDefault="00082FD5" w:rsidP="00082FD5">
      <w:pPr>
        <w:pStyle w:val="ListParagraph"/>
        <w:widowControl w:val="0"/>
        <w:tabs>
          <w:tab w:val="left" w:pos="2163"/>
        </w:tabs>
        <w:autoSpaceDE w:val="0"/>
        <w:autoSpaceDN w:val="0"/>
        <w:spacing w:before="0" w:after="0" w:line="255" w:lineRule="exact"/>
        <w:ind w:left="2162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</w:p>
    <w:p w:rsidR="00082FD5" w:rsidRPr="00196891" w:rsidRDefault="00082FD5" w:rsidP="00082FD5">
      <w:pPr>
        <w:pStyle w:val="ListParagraph"/>
        <w:widowControl w:val="0"/>
        <w:tabs>
          <w:tab w:val="left" w:pos="2163"/>
        </w:tabs>
        <w:autoSpaceDE w:val="0"/>
        <w:autoSpaceDN w:val="0"/>
        <w:spacing w:before="0" w:after="0" w:line="255" w:lineRule="exact"/>
        <w:ind w:left="2162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</w:p>
    <w:p w:rsidR="00082FD5" w:rsidRPr="00EF422D" w:rsidRDefault="00082FD5" w:rsidP="00082FD5">
      <w:pPr>
        <w:pStyle w:val="ListParagraph"/>
        <w:widowControl w:val="0"/>
        <w:tabs>
          <w:tab w:val="left" w:pos="2163"/>
        </w:tabs>
        <w:autoSpaceDE w:val="0"/>
        <w:autoSpaceDN w:val="0"/>
        <w:spacing w:before="0" w:after="0" w:line="255" w:lineRule="exact"/>
        <w:ind w:left="2162"/>
        <w:contextualSpacing w:val="0"/>
        <w:rPr>
          <w:rFonts w:ascii="Times New Roman" w:hAnsi="Times New Roman" w:cs="Times New Roman"/>
          <w:color w:val="2D2B2D"/>
          <w:w w:val="105"/>
          <w:sz w:val="23"/>
        </w:rPr>
      </w:pPr>
    </w:p>
    <w:p w:rsidR="008C5F81" w:rsidRPr="00EF422D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C5F81" w:rsidRPr="00EF422D" w:rsidSect="004374BF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47" w:rsidRDefault="00706C47" w:rsidP="004374BF">
      <w:pPr>
        <w:spacing w:before="0" w:after="0" w:line="240" w:lineRule="auto"/>
      </w:pPr>
      <w:r>
        <w:separator/>
      </w:r>
    </w:p>
  </w:endnote>
  <w:endnote w:type="continuationSeparator" w:id="0">
    <w:p w:rsidR="00706C47" w:rsidRDefault="00706C47" w:rsidP="004374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600411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4BF" w:rsidRDefault="004374B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05ED1">
          <w:t>10</w:t>
        </w:r>
        <w:r>
          <w:fldChar w:fldCharType="end"/>
        </w:r>
      </w:p>
    </w:sdtContent>
  </w:sdt>
  <w:p w:rsidR="004374BF" w:rsidRDefault="00437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47" w:rsidRDefault="00706C47" w:rsidP="004374BF">
      <w:pPr>
        <w:spacing w:before="0" w:after="0" w:line="240" w:lineRule="auto"/>
      </w:pPr>
      <w:r>
        <w:separator/>
      </w:r>
    </w:p>
  </w:footnote>
  <w:footnote w:type="continuationSeparator" w:id="0">
    <w:p w:rsidR="00706C47" w:rsidRDefault="00706C47" w:rsidP="004374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BB2"/>
    <w:multiLevelType w:val="hybridMultilevel"/>
    <w:tmpl w:val="CFF462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105"/>
    <w:multiLevelType w:val="hybridMultilevel"/>
    <w:tmpl w:val="A8B22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E220C"/>
    <w:multiLevelType w:val="hybridMultilevel"/>
    <w:tmpl w:val="7400C7E0"/>
    <w:lvl w:ilvl="0" w:tplc="6DA4C9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0B9D"/>
    <w:multiLevelType w:val="hybridMultilevel"/>
    <w:tmpl w:val="AFD4FB70"/>
    <w:lvl w:ilvl="0" w:tplc="86F4B7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7987"/>
    <w:multiLevelType w:val="hybridMultilevel"/>
    <w:tmpl w:val="2300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036D"/>
    <w:multiLevelType w:val="hybridMultilevel"/>
    <w:tmpl w:val="5A6C7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69B7"/>
    <w:multiLevelType w:val="hybridMultilevel"/>
    <w:tmpl w:val="B3F681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F2574"/>
    <w:multiLevelType w:val="hybridMultilevel"/>
    <w:tmpl w:val="0908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4F32"/>
    <w:multiLevelType w:val="hybridMultilevel"/>
    <w:tmpl w:val="F4D06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85D49"/>
    <w:multiLevelType w:val="hybridMultilevel"/>
    <w:tmpl w:val="25E0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6F5"/>
    <w:multiLevelType w:val="hybridMultilevel"/>
    <w:tmpl w:val="400A3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966D0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9268B"/>
    <w:multiLevelType w:val="hybridMultilevel"/>
    <w:tmpl w:val="B09C00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C3116"/>
    <w:multiLevelType w:val="hybridMultilevel"/>
    <w:tmpl w:val="AA0AB464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35467BE6"/>
    <w:multiLevelType w:val="hybridMultilevel"/>
    <w:tmpl w:val="DCC8734A"/>
    <w:lvl w:ilvl="0" w:tplc="79D4572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311EF"/>
    <w:multiLevelType w:val="hybridMultilevel"/>
    <w:tmpl w:val="1528DF46"/>
    <w:lvl w:ilvl="0" w:tplc="2256BB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47725"/>
    <w:multiLevelType w:val="hybridMultilevel"/>
    <w:tmpl w:val="483A5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7D0B24"/>
    <w:multiLevelType w:val="hybridMultilevel"/>
    <w:tmpl w:val="E9201D62"/>
    <w:lvl w:ilvl="0" w:tplc="9306BD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1AB1"/>
    <w:multiLevelType w:val="hybridMultilevel"/>
    <w:tmpl w:val="78C6D7FC"/>
    <w:lvl w:ilvl="0" w:tplc="61FEE7C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44BA5"/>
    <w:multiLevelType w:val="hybridMultilevel"/>
    <w:tmpl w:val="68BC6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927D5"/>
    <w:multiLevelType w:val="hybridMultilevel"/>
    <w:tmpl w:val="8098D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71500"/>
    <w:multiLevelType w:val="hybridMultilevel"/>
    <w:tmpl w:val="8F20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923B2"/>
    <w:multiLevelType w:val="hybridMultilevel"/>
    <w:tmpl w:val="5C464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072"/>
    <w:multiLevelType w:val="hybridMultilevel"/>
    <w:tmpl w:val="007C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4453D"/>
    <w:multiLevelType w:val="hybridMultilevel"/>
    <w:tmpl w:val="FE6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949A6"/>
    <w:multiLevelType w:val="hybridMultilevel"/>
    <w:tmpl w:val="3A4E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F1DBE"/>
    <w:multiLevelType w:val="hybridMultilevel"/>
    <w:tmpl w:val="52DA0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627117"/>
    <w:multiLevelType w:val="hybridMultilevel"/>
    <w:tmpl w:val="AD0C4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7A2019"/>
    <w:multiLevelType w:val="hybridMultilevel"/>
    <w:tmpl w:val="2D74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16C80"/>
    <w:multiLevelType w:val="hybridMultilevel"/>
    <w:tmpl w:val="7EA0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D2E59"/>
    <w:multiLevelType w:val="hybridMultilevel"/>
    <w:tmpl w:val="6C06B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54F32"/>
    <w:multiLevelType w:val="multilevel"/>
    <w:tmpl w:val="1D8E429E"/>
    <w:lvl w:ilvl="0">
      <w:start w:val="1"/>
      <w:numFmt w:val="decimal"/>
      <w:lvlText w:val="%1."/>
      <w:lvlJc w:val="left"/>
      <w:pPr>
        <w:ind w:left="1621" w:hanging="358"/>
        <w:jc w:val="left"/>
      </w:pPr>
      <w:rPr>
        <w:rFonts w:ascii="Times New Roman" w:eastAsia="Times New Roman" w:hAnsi="Times New Roman" w:cs="Times New Roman" w:hint="default"/>
        <w:color w:val="auto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2160" w:hanging="543"/>
        <w:jc w:val="left"/>
      </w:pPr>
      <w:rPr>
        <w:rFonts w:ascii="Times New Roman" w:eastAsia="Times New Roman" w:hAnsi="Times New Roman" w:cs="Times New Roman" w:hint="default"/>
        <w:color w:val="3B3B3D"/>
        <w:spacing w:val="0"/>
        <w:w w:val="69"/>
        <w:sz w:val="23"/>
        <w:szCs w:val="23"/>
      </w:rPr>
    </w:lvl>
    <w:lvl w:ilvl="2">
      <w:numFmt w:val="bullet"/>
      <w:lvlText w:val="•"/>
      <w:lvlJc w:val="left"/>
      <w:pPr>
        <w:ind w:left="3242" w:hanging="543"/>
      </w:pPr>
      <w:rPr>
        <w:rFonts w:hint="default"/>
      </w:rPr>
    </w:lvl>
    <w:lvl w:ilvl="3">
      <w:numFmt w:val="bullet"/>
      <w:lvlText w:val="•"/>
      <w:lvlJc w:val="left"/>
      <w:pPr>
        <w:ind w:left="4324" w:hanging="543"/>
      </w:pPr>
      <w:rPr>
        <w:rFonts w:hint="default"/>
      </w:rPr>
    </w:lvl>
    <w:lvl w:ilvl="4">
      <w:numFmt w:val="bullet"/>
      <w:lvlText w:val="•"/>
      <w:lvlJc w:val="left"/>
      <w:pPr>
        <w:ind w:left="5406" w:hanging="543"/>
      </w:pPr>
      <w:rPr>
        <w:rFonts w:hint="default"/>
      </w:rPr>
    </w:lvl>
    <w:lvl w:ilvl="5">
      <w:numFmt w:val="bullet"/>
      <w:lvlText w:val="•"/>
      <w:lvlJc w:val="left"/>
      <w:pPr>
        <w:ind w:left="6488" w:hanging="543"/>
      </w:pPr>
      <w:rPr>
        <w:rFonts w:hint="default"/>
      </w:rPr>
    </w:lvl>
    <w:lvl w:ilvl="6">
      <w:numFmt w:val="bullet"/>
      <w:lvlText w:val="•"/>
      <w:lvlJc w:val="left"/>
      <w:pPr>
        <w:ind w:left="7571" w:hanging="543"/>
      </w:pPr>
      <w:rPr>
        <w:rFonts w:hint="default"/>
      </w:rPr>
    </w:lvl>
    <w:lvl w:ilvl="7">
      <w:numFmt w:val="bullet"/>
      <w:lvlText w:val="•"/>
      <w:lvlJc w:val="left"/>
      <w:pPr>
        <w:ind w:left="8653" w:hanging="543"/>
      </w:pPr>
      <w:rPr>
        <w:rFonts w:hint="default"/>
      </w:rPr>
    </w:lvl>
    <w:lvl w:ilvl="8">
      <w:numFmt w:val="bullet"/>
      <w:lvlText w:val="•"/>
      <w:lvlJc w:val="left"/>
      <w:pPr>
        <w:ind w:left="9735" w:hanging="543"/>
      </w:pPr>
      <w:rPr>
        <w:rFonts w:hint="default"/>
      </w:rPr>
    </w:lvl>
  </w:abstractNum>
  <w:abstractNum w:abstractNumId="31" w15:restartNumberingAfterBreak="0">
    <w:nsid w:val="6C6C2F6B"/>
    <w:multiLevelType w:val="hybridMultilevel"/>
    <w:tmpl w:val="95D0B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E3863"/>
    <w:multiLevelType w:val="hybridMultilevel"/>
    <w:tmpl w:val="FC58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B4677"/>
    <w:multiLevelType w:val="hybridMultilevel"/>
    <w:tmpl w:val="F4609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E3181"/>
    <w:multiLevelType w:val="multilevel"/>
    <w:tmpl w:val="CC4E450E"/>
    <w:lvl w:ilvl="0">
      <w:start w:val="1"/>
      <w:numFmt w:val="decimal"/>
      <w:lvlText w:val="%1."/>
      <w:lvlJc w:val="left"/>
      <w:pPr>
        <w:ind w:left="1621" w:hanging="358"/>
        <w:jc w:val="left"/>
      </w:pPr>
      <w:rPr>
        <w:rFonts w:ascii="Times New Roman" w:eastAsia="Times New Roman" w:hAnsi="Times New Roman" w:cs="Times New Roman" w:hint="default"/>
        <w:color w:val="3B3B3D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2160" w:hanging="543"/>
        <w:jc w:val="left"/>
      </w:pPr>
      <w:rPr>
        <w:rFonts w:ascii="Times New Roman" w:eastAsia="Times New Roman" w:hAnsi="Times New Roman" w:cs="Times New Roman" w:hint="default"/>
        <w:color w:val="3B3B3D"/>
        <w:spacing w:val="0"/>
        <w:w w:val="69"/>
        <w:sz w:val="23"/>
        <w:szCs w:val="23"/>
      </w:rPr>
    </w:lvl>
    <w:lvl w:ilvl="2">
      <w:numFmt w:val="bullet"/>
      <w:lvlText w:val="•"/>
      <w:lvlJc w:val="left"/>
      <w:pPr>
        <w:ind w:left="3242" w:hanging="54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4" w:hanging="543"/>
      </w:pPr>
      <w:rPr>
        <w:rFonts w:hint="default"/>
      </w:rPr>
    </w:lvl>
    <w:lvl w:ilvl="4">
      <w:numFmt w:val="bullet"/>
      <w:lvlText w:val="•"/>
      <w:lvlJc w:val="left"/>
      <w:pPr>
        <w:ind w:left="5406" w:hanging="543"/>
      </w:pPr>
      <w:rPr>
        <w:rFonts w:hint="default"/>
      </w:rPr>
    </w:lvl>
    <w:lvl w:ilvl="5">
      <w:numFmt w:val="bullet"/>
      <w:lvlText w:val="•"/>
      <w:lvlJc w:val="left"/>
      <w:pPr>
        <w:ind w:left="6488" w:hanging="543"/>
      </w:pPr>
      <w:rPr>
        <w:rFonts w:hint="default"/>
      </w:rPr>
    </w:lvl>
    <w:lvl w:ilvl="6">
      <w:numFmt w:val="bullet"/>
      <w:lvlText w:val="•"/>
      <w:lvlJc w:val="left"/>
      <w:pPr>
        <w:ind w:left="7571" w:hanging="543"/>
      </w:pPr>
      <w:rPr>
        <w:rFonts w:hint="default"/>
      </w:rPr>
    </w:lvl>
    <w:lvl w:ilvl="7">
      <w:numFmt w:val="bullet"/>
      <w:lvlText w:val="•"/>
      <w:lvlJc w:val="left"/>
      <w:pPr>
        <w:ind w:left="8653" w:hanging="543"/>
      </w:pPr>
      <w:rPr>
        <w:rFonts w:hint="default"/>
      </w:rPr>
    </w:lvl>
    <w:lvl w:ilvl="8">
      <w:numFmt w:val="bullet"/>
      <w:lvlText w:val="•"/>
      <w:lvlJc w:val="left"/>
      <w:pPr>
        <w:ind w:left="9735" w:hanging="543"/>
      </w:pPr>
      <w:rPr>
        <w:rFonts w:hint="default"/>
      </w:rPr>
    </w:lvl>
  </w:abstractNum>
  <w:abstractNum w:abstractNumId="35" w15:restartNumberingAfterBreak="0">
    <w:nsid w:val="786C1900"/>
    <w:multiLevelType w:val="hybridMultilevel"/>
    <w:tmpl w:val="CC46564C"/>
    <w:lvl w:ilvl="0" w:tplc="323440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0"/>
  </w:num>
  <w:num w:numId="4">
    <w:abstractNumId w:val="19"/>
  </w:num>
  <w:num w:numId="5">
    <w:abstractNumId w:val="12"/>
  </w:num>
  <w:num w:numId="6">
    <w:abstractNumId w:val="21"/>
  </w:num>
  <w:num w:numId="7">
    <w:abstractNumId w:val="27"/>
  </w:num>
  <w:num w:numId="8">
    <w:abstractNumId w:val="0"/>
  </w:num>
  <w:num w:numId="9">
    <w:abstractNumId w:val="6"/>
  </w:num>
  <w:num w:numId="10">
    <w:abstractNumId w:val="31"/>
  </w:num>
  <w:num w:numId="11">
    <w:abstractNumId w:val="16"/>
  </w:num>
  <w:num w:numId="12">
    <w:abstractNumId w:val="35"/>
  </w:num>
  <w:num w:numId="13">
    <w:abstractNumId w:val="29"/>
  </w:num>
  <w:num w:numId="14">
    <w:abstractNumId w:val="11"/>
  </w:num>
  <w:num w:numId="15">
    <w:abstractNumId w:val="34"/>
  </w:num>
  <w:num w:numId="16">
    <w:abstractNumId w:val="3"/>
  </w:num>
  <w:num w:numId="17">
    <w:abstractNumId w:val="2"/>
  </w:num>
  <w:num w:numId="18">
    <w:abstractNumId w:val="10"/>
  </w:num>
  <w:num w:numId="19">
    <w:abstractNumId w:val="24"/>
  </w:num>
  <w:num w:numId="20">
    <w:abstractNumId w:val="32"/>
  </w:num>
  <w:num w:numId="21">
    <w:abstractNumId w:val="14"/>
  </w:num>
  <w:num w:numId="22">
    <w:abstractNumId w:val="33"/>
  </w:num>
  <w:num w:numId="23">
    <w:abstractNumId w:val="9"/>
  </w:num>
  <w:num w:numId="24">
    <w:abstractNumId w:val="20"/>
  </w:num>
  <w:num w:numId="25">
    <w:abstractNumId w:val="28"/>
  </w:num>
  <w:num w:numId="26">
    <w:abstractNumId w:val="13"/>
  </w:num>
  <w:num w:numId="27">
    <w:abstractNumId w:val="18"/>
  </w:num>
  <w:num w:numId="28">
    <w:abstractNumId w:val="1"/>
  </w:num>
  <w:num w:numId="29">
    <w:abstractNumId w:val="22"/>
  </w:num>
  <w:num w:numId="30">
    <w:abstractNumId w:val="5"/>
  </w:num>
  <w:num w:numId="31">
    <w:abstractNumId w:val="26"/>
  </w:num>
  <w:num w:numId="32">
    <w:abstractNumId w:val="25"/>
  </w:num>
  <w:num w:numId="33">
    <w:abstractNumId w:val="15"/>
  </w:num>
  <w:num w:numId="34">
    <w:abstractNumId w:val="8"/>
  </w:num>
  <w:num w:numId="35">
    <w:abstractNumId w:val="17"/>
  </w:num>
  <w:num w:numId="3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xsDA2NTa3NDIwNDVU0lEKTi0uzszPAykwrQUAhkICBiwAAAA="/>
  </w:docVars>
  <w:rsids>
    <w:rsidRoot w:val="00BE2B67"/>
    <w:rsid w:val="00026C2F"/>
    <w:rsid w:val="00045D26"/>
    <w:rsid w:val="00071F5C"/>
    <w:rsid w:val="00072D6D"/>
    <w:rsid w:val="00082FD5"/>
    <w:rsid w:val="000A0E41"/>
    <w:rsid w:val="00111233"/>
    <w:rsid w:val="00123201"/>
    <w:rsid w:val="00193395"/>
    <w:rsid w:val="00196891"/>
    <w:rsid w:val="001A617B"/>
    <w:rsid w:val="001F5E4B"/>
    <w:rsid w:val="0021707D"/>
    <w:rsid w:val="00232C99"/>
    <w:rsid w:val="00233D8F"/>
    <w:rsid w:val="00236356"/>
    <w:rsid w:val="002702A5"/>
    <w:rsid w:val="00271F30"/>
    <w:rsid w:val="00285DF1"/>
    <w:rsid w:val="0029299B"/>
    <w:rsid w:val="002A639E"/>
    <w:rsid w:val="002E5083"/>
    <w:rsid w:val="00301897"/>
    <w:rsid w:val="00306040"/>
    <w:rsid w:val="00354DB9"/>
    <w:rsid w:val="00355D03"/>
    <w:rsid w:val="003E1E9C"/>
    <w:rsid w:val="003E3D49"/>
    <w:rsid w:val="003F0513"/>
    <w:rsid w:val="004177BA"/>
    <w:rsid w:val="0042639D"/>
    <w:rsid w:val="004374BF"/>
    <w:rsid w:val="00460C2D"/>
    <w:rsid w:val="00482121"/>
    <w:rsid w:val="004D4AA4"/>
    <w:rsid w:val="004F3550"/>
    <w:rsid w:val="00502844"/>
    <w:rsid w:val="00521ACD"/>
    <w:rsid w:val="00537E4B"/>
    <w:rsid w:val="005B49C1"/>
    <w:rsid w:val="005D68B7"/>
    <w:rsid w:val="00613ABE"/>
    <w:rsid w:val="00685210"/>
    <w:rsid w:val="006B127B"/>
    <w:rsid w:val="006C06FE"/>
    <w:rsid w:val="006D1806"/>
    <w:rsid w:val="006E062A"/>
    <w:rsid w:val="006F6188"/>
    <w:rsid w:val="00706C47"/>
    <w:rsid w:val="0071105B"/>
    <w:rsid w:val="007273D3"/>
    <w:rsid w:val="0076087D"/>
    <w:rsid w:val="007E0B2B"/>
    <w:rsid w:val="008C06F7"/>
    <w:rsid w:val="008C5F81"/>
    <w:rsid w:val="00905ED1"/>
    <w:rsid w:val="009F4CB7"/>
    <w:rsid w:val="00A02E46"/>
    <w:rsid w:val="00A27654"/>
    <w:rsid w:val="00A67101"/>
    <w:rsid w:val="00A708EC"/>
    <w:rsid w:val="00AA7F52"/>
    <w:rsid w:val="00AD68FD"/>
    <w:rsid w:val="00AE50F4"/>
    <w:rsid w:val="00B00E96"/>
    <w:rsid w:val="00B06050"/>
    <w:rsid w:val="00B23D3C"/>
    <w:rsid w:val="00B241A0"/>
    <w:rsid w:val="00B4196C"/>
    <w:rsid w:val="00B7190B"/>
    <w:rsid w:val="00B73A81"/>
    <w:rsid w:val="00B909A6"/>
    <w:rsid w:val="00BC09DE"/>
    <w:rsid w:val="00BE2B67"/>
    <w:rsid w:val="00C04728"/>
    <w:rsid w:val="00C05DDE"/>
    <w:rsid w:val="00C10E06"/>
    <w:rsid w:val="00C17FE5"/>
    <w:rsid w:val="00C2495F"/>
    <w:rsid w:val="00C80F25"/>
    <w:rsid w:val="00C82DE4"/>
    <w:rsid w:val="00CC5D70"/>
    <w:rsid w:val="00CE719D"/>
    <w:rsid w:val="00D16FFF"/>
    <w:rsid w:val="00D45A2D"/>
    <w:rsid w:val="00D75FAB"/>
    <w:rsid w:val="00D96048"/>
    <w:rsid w:val="00DA6945"/>
    <w:rsid w:val="00DC4671"/>
    <w:rsid w:val="00DE3FD0"/>
    <w:rsid w:val="00E008BE"/>
    <w:rsid w:val="00E305DA"/>
    <w:rsid w:val="00E36904"/>
    <w:rsid w:val="00E47B98"/>
    <w:rsid w:val="00EB04FA"/>
    <w:rsid w:val="00EE31E9"/>
    <w:rsid w:val="00EF422D"/>
    <w:rsid w:val="00F45494"/>
    <w:rsid w:val="00FC2364"/>
    <w:rsid w:val="00FE095D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E05E4-112C-48D8-B881-8EC63AA2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95"/>
    <w:pPr>
      <w:spacing w:after="200" w:line="276" w:lineRule="auto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4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0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C5F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E4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1F5E4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D1806"/>
    <w:pPr>
      <w:spacing w:before="0" w:after="0" w:line="240" w:lineRule="auto"/>
    </w:pPr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45"/>
    <w:rPr>
      <w:rFonts w:ascii="Tahoma" w:hAnsi="Tahoma" w:cs="Tahoma"/>
      <w:noProof/>
      <w:sz w:val="16"/>
      <w:szCs w:val="16"/>
      <w:lang w:val="sq-AL"/>
    </w:rPr>
  </w:style>
  <w:style w:type="paragraph" w:customStyle="1" w:styleId="Default">
    <w:name w:val="Default"/>
    <w:rsid w:val="000A0E41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4728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noProof w:val="0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4728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355D03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68F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374BF"/>
    <w:pPr>
      <w:spacing w:line="259" w:lineRule="auto"/>
      <w:jc w:val="left"/>
      <w:outlineLvl w:val="9"/>
    </w:pPr>
    <w:rPr>
      <w:noProof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374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74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74BF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374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4BF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374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4BF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egjiglob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5F5D-18F7-4221-A2BF-369C7DC5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Kushtrim Zebica</cp:lastModifiedBy>
  <cp:revision>2</cp:revision>
  <dcterms:created xsi:type="dcterms:W3CDTF">2021-01-07T19:10:00Z</dcterms:created>
  <dcterms:modified xsi:type="dcterms:W3CDTF">2021-01-07T19:10:00Z</dcterms:modified>
</cp:coreProperties>
</file>